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41815" w:rsidP="00C077F1" w:rsidRDefault="00D41815" w14:paraId="049B77B5" w14:textId="7DFA7BA6">
      <w:pPr>
        <w:pStyle w:val="Title"/>
        <w:rPr>
          <w:rFonts w:ascii="Arial" w:hAnsi="Arial" w:cs="Arial"/>
          <w:color w:val="002060"/>
          <w:sz w:val="40"/>
          <w:szCs w:val="40"/>
        </w:rPr>
      </w:pPr>
      <w:r w:rsidRPr="00D41815">
        <w:rPr>
          <w:rFonts w:ascii="Arial" w:hAnsi="Arial" w:cs="Arial"/>
          <w:noProof/>
          <w:color w:val="002060"/>
          <w:sz w:val="40"/>
          <w:szCs w:val="40"/>
        </w:rPr>
        <w:drawing>
          <wp:anchor distT="0" distB="0" distL="114300" distR="114300" simplePos="0" relativeHeight="251658241" behindDoc="0" locked="0" layoutInCell="1" allowOverlap="1" wp14:anchorId="6B06D3CB" wp14:editId="51392FD0">
            <wp:simplePos x="0" y="0"/>
            <wp:positionH relativeFrom="column">
              <wp:posOffset>4476750</wp:posOffset>
            </wp:positionH>
            <wp:positionV relativeFrom="paragraph">
              <wp:posOffset>317</wp:posOffset>
            </wp:positionV>
            <wp:extent cx="1548173" cy="976313"/>
            <wp:effectExtent l="0" t="0" r="0" b="0"/>
            <wp:wrapSquare wrapText="bothSides"/>
            <wp:docPr id="344879718"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79718" name="Picture 2"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173" cy="976313"/>
                    </a:xfrm>
                    <a:prstGeom prst="rect">
                      <a:avLst/>
                    </a:prstGeom>
                    <a:noFill/>
                    <a:ln>
                      <a:noFill/>
                    </a:ln>
                  </pic:spPr>
                </pic:pic>
              </a:graphicData>
            </a:graphic>
          </wp:anchor>
        </w:drawing>
      </w:r>
      <w:r w:rsidRPr="00D41815">
        <w:rPr>
          <w:rFonts w:ascii="Arial" w:hAnsi="Arial" w:cs="Arial"/>
          <w:b/>
          <w:bCs/>
          <w:color w:val="002060"/>
          <w:sz w:val="40"/>
          <w:szCs w:val="40"/>
        </w:rPr>
        <w:br/>
      </w:r>
    </w:p>
    <w:p w:rsidR="00D41815" w:rsidP="00C077F1" w:rsidRDefault="00D41815" w14:paraId="1773E9A7" w14:textId="77777777">
      <w:pPr>
        <w:pStyle w:val="Title"/>
        <w:rPr>
          <w:rFonts w:ascii="Arial" w:hAnsi="Arial" w:cs="Arial"/>
          <w:color w:val="002060"/>
          <w:sz w:val="40"/>
          <w:szCs w:val="40"/>
        </w:rPr>
      </w:pPr>
    </w:p>
    <w:p w:rsidRPr="00C077F1" w:rsidR="00F45707" w:rsidP="00C077F1" w:rsidRDefault="00182BF3" w14:paraId="5E5787A5" w14:textId="7CC9AF59">
      <w:pPr>
        <w:pStyle w:val="Title"/>
        <w:rPr>
          <w:rFonts w:ascii="Arial" w:hAnsi="Arial" w:cs="Arial"/>
          <w:color w:val="002060"/>
          <w:sz w:val="40"/>
          <w:szCs w:val="40"/>
        </w:rPr>
      </w:pPr>
      <w:r w:rsidRPr="00C077F1">
        <w:rPr>
          <w:rFonts w:ascii="Arial" w:hAnsi="Arial" w:cs="Arial"/>
          <w:color w:val="002060"/>
          <w:sz w:val="40"/>
          <w:szCs w:val="40"/>
        </w:rPr>
        <w:t>Gender Pay Gap Reporting 202</w:t>
      </w:r>
      <w:r w:rsidR="000A78CA">
        <w:rPr>
          <w:rFonts w:ascii="Arial" w:hAnsi="Arial" w:cs="Arial"/>
          <w:color w:val="002060"/>
          <w:sz w:val="40"/>
          <w:szCs w:val="40"/>
        </w:rPr>
        <w:t>4</w:t>
      </w:r>
      <w:r w:rsidRPr="00C077F1">
        <w:rPr>
          <w:rFonts w:ascii="Arial" w:hAnsi="Arial" w:cs="Arial"/>
          <w:color w:val="002060"/>
          <w:sz w:val="40"/>
          <w:szCs w:val="40"/>
        </w:rPr>
        <w:t>-2</w:t>
      </w:r>
      <w:r w:rsidR="000A78CA">
        <w:rPr>
          <w:rFonts w:ascii="Arial" w:hAnsi="Arial" w:cs="Arial"/>
          <w:color w:val="002060"/>
          <w:sz w:val="40"/>
          <w:szCs w:val="40"/>
        </w:rPr>
        <w:t>5</w:t>
      </w:r>
    </w:p>
    <w:p w:rsidR="00C02AE5" w:rsidRDefault="00C02AE5" w14:paraId="1480B894" w14:textId="77777777">
      <w:pPr>
        <w:rPr>
          <w:rFonts w:ascii="Arial" w:hAnsi="Arial" w:cs="Arial"/>
          <w:b/>
          <w:bCs/>
        </w:rPr>
      </w:pPr>
    </w:p>
    <w:p w:rsidRPr="00C077F1" w:rsidR="00D97C88" w:rsidP="3C2EEABD" w:rsidRDefault="00D97C88" w14:paraId="60E228C1" w14:textId="40A4FCBD">
      <w:pPr>
        <w:rPr>
          <w:rFonts w:ascii="Arial" w:hAnsi="Arial" w:cs="Arial"/>
          <w:b/>
          <w:bCs/>
          <w:color w:val="B823B8"/>
        </w:rPr>
      </w:pPr>
      <w:r w:rsidRPr="3C2EEABD">
        <w:rPr>
          <w:rFonts w:ascii="Arial" w:hAnsi="Arial" w:cs="Arial"/>
          <w:b/>
          <w:bCs/>
          <w:color w:val="B823B8"/>
        </w:rPr>
        <w:t>Introduction</w:t>
      </w:r>
    </w:p>
    <w:p w:rsidRPr="00C077F1" w:rsidR="004A0F6A" w:rsidRDefault="00D97C88" w14:paraId="0D9CFAC5" w14:textId="77777777">
      <w:pPr>
        <w:rPr>
          <w:rFonts w:ascii="Arial" w:hAnsi="Arial" w:cs="Arial"/>
        </w:rPr>
      </w:pPr>
      <w:r w:rsidRPr="00C077F1">
        <w:rPr>
          <w:rFonts w:ascii="Arial" w:hAnsi="Arial" w:cs="Arial"/>
        </w:rPr>
        <w:t xml:space="preserve">This report shows the difference in the average pay between all men and women across our workforce. ONE Academy Trust is an equal pay employer, subject to the requirements of TUPE transfers. The Trust’s Gender Pay Gap is a high level, non-adjusted indicator of male and female earnings affected by workforce distribution and workforce make-up. The overall gender pay gap reflects workforce composition rather than pay inequalities. </w:t>
      </w:r>
    </w:p>
    <w:p w:rsidRPr="00C077F1" w:rsidR="007F715F" w:rsidRDefault="00D97C88" w14:paraId="4541B45A" w14:textId="77777777">
      <w:pPr>
        <w:rPr>
          <w:rFonts w:ascii="Arial" w:hAnsi="Arial" w:cs="Arial"/>
        </w:rPr>
      </w:pPr>
      <w:r w:rsidRPr="00C077F1">
        <w:rPr>
          <w:rFonts w:ascii="Arial" w:hAnsi="Arial" w:cs="Arial"/>
        </w:rPr>
        <w:t xml:space="preserve">The Board of Trustees are committed to the promotion of equality of opportunity and choice for employees and support the fair treatment of all staff irrespective of gender through our transparent recruitment processes, pay policy and professional development. All our posts are aligned to nationally agreed pay scales and our male and female staff are paid within the same pay band for the same job role. </w:t>
      </w:r>
    </w:p>
    <w:p w:rsidRPr="00C077F1" w:rsidR="00D97C88" w:rsidRDefault="00D97C88" w14:paraId="4E3D2849" w14:textId="4AC26405">
      <w:pPr>
        <w:rPr>
          <w:rFonts w:ascii="Arial" w:hAnsi="Arial" w:cs="Arial"/>
        </w:rPr>
      </w:pPr>
      <w:r w:rsidRPr="3C2EEABD">
        <w:rPr>
          <w:rFonts w:ascii="Arial" w:hAnsi="Arial" w:cs="Arial"/>
        </w:rPr>
        <w:t xml:space="preserve">The snapshot date for </w:t>
      </w:r>
      <w:r w:rsidRPr="3C2EEABD" w:rsidR="00FA2800">
        <w:rPr>
          <w:rFonts w:ascii="Arial" w:hAnsi="Arial" w:cs="Arial"/>
        </w:rPr>
        <w:t>ONE Academy</w:t>
      </w:r>
      <w:r w:rsidRPr="3C2EEABD">
        <w:rPr>
          <w:rFonts w:ascii="Arial" w:hAnsi="Arial" w:cs="Arial"/>
        </w:rPr>
        <w:t xml:space="preserve"> Trust wa</w:t>
      </w:r>
      <w:r w:rsidRPr="3C2EEABD" w:rsidR="00FA2800">
        <w:rPr>
          <w:rFonts w:ascii="Arial" w:hAnsi="Arial" w:cs="Arial"/>
        </w:rPr>
        <w:t xml:space="preserve">s </w:t>
      </w:r>
      <w:r w:rsidRPr="3C2EEABD" w:rsidR="005E2A16">
        <w:rPr>
          <w:rFonts w:ascii="Arial" w:hAnsi="Arial" w:cs="Arial"/>
          <w:i/>
          <w:iCs/>
        </w:rPr>
        <w:t>31</w:t>
      </w:r>
      <w:r w:rsidRPr="3C2EEABD" w:rsidR="005E2A16">
        <w:rPr>
          <w:rFonts w:ascii="Arial" w:hAnsi="Arial" w:cs="Arial"/>
          <w:i/>
          <w:iCs/>
          <w:vertAlign w:val="superscript"/>
        </w:rPr>
        <w:t>st</w:t>
      </w:r>
      <w:r w:rsidRPr="3C2EEABD" w:rsidR="005E2A16">
        <w:rPr>
          <w:rFonts w:ascii="Arial" w:hAnsi="Arial" w:cs="Arial"/>
          <w:i/>
          <w:iCs/>
        </w:rPr>
        <w:t xml:space="preserve"> March 202</w:t>
      </w:r>
      <w:r w:rsidR="000A78CA">
        <w:rPr>
          <w:rFonts w:ascii="Arial" w:hAnsi="Arial" w:cs="Arial"/>
          <w:i/>
          <w:iCs/>
        </w:rPr>
        <w:t>5</w:t>
      </w:r>
      <w:r w:rsidRPr="3C2EEABD">
        <w:rPr>
          <w:rFonts w:ascii="Arial" w:hAnsi="Arial" w:cs="Arial"/>
          <w:i/>
          <w:iCs/>
        </w:rPr>
        <w:t>.</w:t>
      </w:r>
      <w:r w:rsidRPr="3C2EEABD">
        <w:rPr>
          <w:rFonts w:ascii="Arial" w:hAnsi="Arial" w:cs="Arial"/>
        </w:rPr>
        <w:t xml:space="preserve"> The data required under The Equality Act 2010 (Gender Pay Gap Information) Regulations 2017 is as follows:</w:t>
      </w:r>
    </w:p>
    <w:p w:rsidRPr="00C077F1" w:rsidR="00872B1F" w:rsidRDefault="00872B1F" w14:paraId="356BCCBC" w14:textId="77777777">
      <w:pPr>
        <w:rPr>
          <w:rFonts w:ascii="Arial" w:hAnsi="Arial" w:cs="Arial"/>
          <w:b/>
          <w:bCs/>
        </w:rPr>
      </w:pPr>
      <w:r w:rsidRPr="3C2EEABD">
        <w:rPr>
          <w:rFonts w:ascii="Arial" w:hAnsi="Arial" w:cs="Arial"/>
          <w:b/>
          <w:bCs/>
          <w:color w:val="B823B8"/>
        </w:rPr>
        <w:t>ONE Academy Trust’s gender profile</w:t>
      </w:r>
      <w:r w:rsidRPr="3C2EEABD">
        <w:rPr>
          <w:rFonts w:ascii="Arial" w:hAnsi="Arial" w:cs="Arial"/>
          <w:b/>
          <w:bCs/>
        </w:rPr>
        <w:t xml:space="preserve"> </w:t>
      </w:r>
    </w:p>
    <w:p w:rsidRPr="00C077F1" w:rsidR="0011367D" w:rsidRDefault="00872B1F" w14:paraId="2E337D40" w14:textId="0D6FAC59">
      <w:pPr>
        <w:rPr>
          <w:rFonts w:ascii="Arial" w:hAnsi="Arial" w:cs="Arial"/>
        </w:rPr>
      </w:pPr>
      <w:r w:rsidRPr="0C27FA8B" w:rsidR="00872B1F">
        <w:rPr>
          <w:rFonts w:ascii="Arial" w:hAnsi="Arial" w:cs="Arial"/>
        </w:rPr>
        <w:t>Within ONE Academy Trust the</w:t>
      </w:r>
      <w:r w:rsidRPr="0C27FA8B" w:rsidR="001F64E3">
        <w:rPr>
          <w:rFonts w:ascii="Arial" w:hAnsi="Arial" w:cs="Arial"/>
        </w:rPr>
        <w:t xml:space="preserve">re is a </w:t>
      </w:r>
      <w:r w:rsidRPr="0C27FA8B" w:rsidR="00872B1F">
        <w:rPr>
          <w:rFonts w:ascii="Arial" w:hAnsi="Arial" w:cs="Arial"/>
        </w:rPr>
        <w:t xml:space="preserve">high percentage of female staff (gender profile) </w:t>
      </w:r>
      <w:r w:rsidRPr="0C27FA8B" w:rsidR="001F64E3">
        <w:rPr>
          <w:rFonts w:ascii="Arial" w:hAnsi="Arial" w:cs="Arial"/>
        </w:rPr>
        <w:t xml:space="preserve">which currently stands at </w:t>
      </w:r>
      <w:r w:rsidRPr="0C27FA8B" w:rsidR="40DCF5F8">
        <w:rPr>
          <w:rFonts w:ascii="Arial" w:hAnsi="Arial" w:cs="Arial"/>
        </w:rPr>
        <w:t>89</w:t>
      </w:r>
      <w:r w:rsidRPr="0C27FA8B" w:rsidR="00872B1F">
        <w:rPr>
          <w:rFonts w:ascii="Arial" w:hAnsi="Arial" w:cs="Arial"/>
        </w:rPr>
        <w:t>%</w:t>
      </w:r>
      <w:r w:rsidRPr="0C27FA8B" w:rsidR="00872B1F">
        <w:rPr>
          <w:rFonts w:ascii="Arial" w:hAnsi="Arial" w:cs="Arial"/>
        </w:rPr>
        <w:t xml:space="preserve"> </w:t>
      </w:r>
      <w:r w:rsidRPr="0C27FA8B" w:rsidR="0011367D">
        <w:rPr>
          <w:rFonts w:ascii="Arial" w:hAnsi="Arial" w:cs="Arial"/>
        </w:rPr>
        <w:t>of the workforce</w:t>
      </w:r>
      <w:r w:rsidRPr="0C27FA8B" w:rsidR="00872B1F">
        <w:rPr>
          <w:rFonts w:ascii="Arial" w:hAnsi="Arial" w:cs="Arial"/>
        </w:rPr>
        <w:t xml:space="preserve">. </w:t>
      </w:r>
    </w:p>
    <w:p w:rsidRPr="00C077F1" w:rsidR="00721AD0" w:rsidRDefault="00872B1F" w14:paraId="65367831" w14:textId="3E93265C">
      <w:pPr>
        <w:rPr>
          <w:rFonts w:ascii="Arial" w:hAnsi="Arial" w:cs="Arial"/>
        </w:rPr>
      </w:pPr>
      <w:r w:rsidRPr="00C077F1">
        <w:rPr>
          <w:rFonts w:ascii="Arial" w:hAnsi="Arial" w:cs="Arial"/>
        </w:rPr>
        <w:t>The results of the statutory gender pay calculations are:</w:t>
      </w:r>
    </w:p>
    <w:tbl>
      <w:tblPr>
        <w:tblStyle w:val="TableGrid"/>
        <w:tblW w:w="10201" w:type="dxa"/>
        <w:jc w:val="center"/>
        <w:tblLook w:val="04A0" w:firstRow="1" w:lastRow="0" w:firstColumn="1" w:lastColumn="0" w:noHBand="0" w:noVBand="1"/>
      </w:tblPr>
      <w:tblGrid>
        <w:gridCol w:w="2641"/>
        <w:gridCol w:w="1650"/>
        <w:gridCol w:w="55"/>
        <w:gridCol w:w="1705"/>
        <w:gridCol w:w="2075"/>
        <w:gridCol w:w="2075"/>
      </w:tblGrid>
      <w:tr w:rsidRPr="00C077F1" w:rsidR="007A5A9B" w:rsidTr="0C27FA8B" w14:paraId="008F3EA9" w14:textId="77777777">
        <w:trPr>
          <w:trHeight w:val="340"/>
          <w:jc w:val="center"/>
        </w:trPr>
        <w:tc>
          <w:tcPr>
            <w:tcW w:w="2641" w:type="dxa"/>
            <w:vMerge w:val="restart"/>
            <w:tcMar/>
            <w:vAlign w:val="center"/>
          </w:tcPr>
          <w:p w:rsidRPr="00C077F1" w:rsidR="007A5A9B" w:rsidP="00B46400" w:rsidRDefault="007A5A9B" w14:paraId="2C192665" w14:textId="28797AD0">
            <w:pPr>
              <w:rPr>
                <w:rFonts w:ascii="Arial" w:hAnsi="Arial" w:cs="Arial"/>
              </w:rPr>
            </w:pPr>
            <w:r w:rsidRPr="00C077F1">
              <w:rPr>
                <w:rFonts w:ascii="Arial" w:hAnsi="Arial" w:cs="Arial"/>
              </w:rPr>
              <w:t>202</w:t>
            </w:r>
            <w:r w:rsidRPr="00C077F1" w:rsidR="00063408">
              <w:rPr>
                <w:rFonts w:ascii="Arial" w:hAnsi="Arial" w:cs="Arial"/>
              </w:rPr>
              <w:t>3</w:t>
            </w:r>
            <w:r w:rsidRPr="00C077F1">
              <w:rPr>
                <w:rFonts w:ascii="Arial" w:hAnsi="Arial" w:cs="Arial"/>
              </w:rPr>
              <w:t>-2</w:t>
            </w:r>
            <w:r w:rsidRPr="00C077F1" w:rsidR="00063408">
              <w:rPr>
                <w:rFonts w:ascii="Arial" w:hAnsi="Arial" w:cs="Arial"/>
              </w:rPr>
              <w:t>4</w:t>
            </w:r>
            <w:r w:rsidRPr="00C077F1">
              <w:rPr>
                <w:rFonts w:ascii="Arial" w:hAnsi="Arial" w:cs="Arial"/>
              </w:rPr>
              <w:t xml:space="preserve"> Return</w:t>
            </w:r>
          </w:p>
        </w:tc>
        <w:tc>
          <w:tcPr>
            <w:tcW w:w="1705" w:type="dxa"/>
            <w:gridSpan w:val="2"/>
            <w:tcMar/>
            <w:vAlign w:val="center"/>
          </w:tcPr>
          <w:p w:rsidRPr="00C077F1" w:rsidR="007A5A9B" w:rsidP="00B46400" w:rsidRDefault="007A5A9B" w14:paraId="5BE2BE51" w14:textId="77777777">
            <w:pPr>
              <w:rPr>
                <w:rFonts w:ascii="Arial" w:hAnsi="Arial" w:cs="Arial"/>
              </w:rPr>
            </w:pPr>
          </w:p>
        </w:tc>
        <w:tc>
          <w:tcPr>
            <w:tcW w:w="1705" w:type="dxa"/>
            <w:tcMar/>
            <w:vAlign w:val="center"/>
          </w:tcPr>
          <w:p w:rsidRPr="00C077F1" w:rsidR="007A5A9B" w:rsidP="00B46400" w:rsidRDefault="007A5A9B" w14:paraId="24AC0A29" w14:textId="053C087F">
            <w:pPr>
              <w:rPr>
                <w:rFonts w:ascii="Arial" w:hAnsi="Arial" w:cs="Arial"/>
              </w:rPr>
            </w:pPr>
          </w:p>
        </w:tc>
        <w:tc>
          <w:tcPr>
            <w:tcW w:w="4150" w:type="dxa"/>
            <w:gridSpan w:val="2"/>
            <w:tcMar/>
            <w:vAlign w:val="center"/>
          </w:tcPr>
          <w:p w:rsidRPr="00C077F1" w:rsidR="007A5A9B" w:rsidP="00B46400" w:rsidRDefault="007A5A9B" w14:paraId="04565F36" w14:textId="331B5A8D">
            <w:pPr>
              <w:rPr>
                <w:rFonts w:ascii="Arial" w:hAnsi="Arial" w:cs="Arial"/>
              </w:rPr>
            </w:pPr>
            <w:r w:rsidRPr="00C077F1">
              <w:rPr>
                <w:rFonts w:ascii="Arial" w:hAnsi="Arial" w:cs="Arial"/>
              </w:rPr>
              <w:t>Hourly Rates</w:t>
            </w:r>
          </w:p>
        </w:tc>
      </w:tr>
      <w:tr w:rsidRPr="00C077F1" w:rsidR="007A5A9B" w:rsidTr="0C27FA8B" w14:paraId="0B4C9FF0" w14:textId="77777777">
        <w:trPr>
          <w:trHeight w:val="340"/>
          <w:jc w:val="center"/>
        </w:trPr>
        <w:tc>
          <w:tcPr>
            <w:tcW w:w="2641" w:type="dxa"/>
            <w:vMerge/>
            <w:tcMar/>
            <w:vAlign w:val="center"/>
          </w:tcPr>
          <w:p w:rsidRPr="00C077F1" w:rsidR="007A5A9B" w:rsidP="00B46400" w:rsidRDefault="007A5A9B" w14:paraId="12639B09" w14:textId="77777777">
            <w:pPr>
              <w:rPr>
                <w:rFonts w:ascii="Arial" w:hAnsi="Arial" w:cs="Arial"/>
              </w:rPr>
            </w:pPr>
          </w:p>
        </w:tc>
        <w:tc>
          <w:tcPr>
            <w:tcW w:w="1705" w:type="dxa"/>
            <w:gridSpan w:val="2"/>
            <w:tcMar/>
            <w:vAlign w:val="center"/>
          </w:tcPr>
          <w:p w:rsidRPr="00C077F1" w:rsidR="007A5A9B" w:rsidP="00B46400" w:rsidRDefault="00256DEB" w14:paraId="123F603F" w14:textId="10E879D2">
            <w:pPr>
              <w:rPr>
                <w:rFonts w:ascii="Arial" w:hAnsi="Arial" w:cs="Arial"/>
              </w:rPr>
            </w:pPr>
            <w:r w:rsidRPr="00C077F1">
              <w:rPr>
                <w:rFonts w:ascii="Arial" w:hAnsi="Arial" w:cs="Arial"/>
              </w:rPr>
              <w:t>Headcount</w:t>
            </w:r>
          </w:p>
        </w:tc>
        <w:tc>
          <w:tcPr>
            <w:tcW w:w="1705" w:type="dxa"/>
            <w:tcMar/>
            <w:vAlign w:val="center"/>
          </w:tcPr>
          <w:p w:rsidRPr="00C077F1" w:rsidR="007A5A9B" w:rsidP="00B46400" w:rsidRDefault="007A5A9B" w14:paraId="245C03CD" w14:textId="6B1E91ED">
            <w:pPr>
              <w:rPr>
                <w:rFonts w:ascii="Arial" w:hAnsi="Arial" w:cs="Arial"/>
              </w:rPr>
            </w:pPr>
            <w:r w:rsidRPr="00C077F1">
              <w:rPr>
                <w:rFonts w:ascii="Arial" w:hAnsi="Arial" w:cs="Arial"/>
              </w:rPr>
              <w:t>% of total</w:t>
            </w:r>
          </w:p>
        </w:tc>
        <w:tc>
          <w:tcPr>
            <w:tcW w:w="2075" w:type="dxa"/>
            <w:tcMar/>
            <w:vAlign w:val="center"/>
          </w:tcPr>
          <w:p w:rsidRPr="00C077F1" w:rsidR="007A5A9B" w:rsidP="00B46400" w:rsidRDefault="007A5A9B" w14:paraId="790AA66C" w14:textId="63AC9860">
            <w:pPr>
              <w:rPr>
                <w:rFonts w:ascii="Arial" w:hAnsi="Arial" w:cs="Arial"/>
              </w:rPr>
            </w:pPr>
            <w:r w:rsidRPr="00C077F1">
              <w:rPr>
                <w:rFonts w:ascii="Arial" w:hAnsi="Arial" w:cs="Arial"/>
              </w:rPr>
              <w:t>Median Average</w:t>
            </w:r>
          </w:p>
        </w:tc>
        <w:tc>
          <w:tcPr>
            <w:tcW w:w="2075" w:type="dxa"/>
            <w:tcMar/>
            <w:vAlign w:val="center"/>
          </w:tcPr>
          <w:p w:rsidRPr="00C077F1" w:rsidR="007A5A9B" w:rsidP="00B46400" w:rsidRDefault="007A5A9B" w14:paraId="289F88B7" w14:textId="10E2508A">
            <w:pPr>
              <w:rPr>
                <w:rFonts w:ascii="Arial" w:hAnsi="Arial" w:cs="Arial"/>
              </w:rPr>
            </w:pPr>
            <w:r w:rsidRPr="00C077F1">
              <w:rPr>
                <w:rFonts w:ascii="Arial" w:hAnsi="Arial" w:cs="Arial"/>
              </w:rPr>
              <w:t>Mean Average</w:t>
            </w:r>
          </w:p>
        </w:tc>
      </w:tr>
      <w:tr w:rsidRPr="00C077F1" w:rsidR="00A938AE" w:rsidTr="0C27FA8B" w14:paraId="2CFCA79A" w14:textId="77777777">
        <w:trPr>
          <w:trHeight w:val="340"/>
          <w:jc w:val="center"/>
        </w:trPr>
        <w:tc>
          <w:tcPr>
            <w:tcW w:w="2641" w:type="dxa"/>
            <w:tcMar/>
            <w:vAlign w:val="center"/>
          </w:tcPr>
          <w:p w:rsidRPr="00C077F1" w:rsidR="00A938AE" w:rsidP="00B46400" w:rsidRDefault="007A5A9B" w14:paraId="15A06A4B" w14:textId="58E9CCA4">
            <w:pPr>
              <w:rPr>
                <w:rFonts w:ascii="Arial" w:hAnsi="Arial" w:cs="Arial"/>
              </w:rPr>
            </w:pPr>
            <w:r w:rsidRPr="00C077F1">
              <w:rPr>
                <w:rFonts w:ascii="Arial" w:hAnsi="Arial" w:cs="Arial"/>
              </w:rPr>
              <w:t xml:space="preserve">Female </w:t>
            </w:r>
          </w:p>
        </w:tc>
        <w:tc>
          <w:tcPr>
            <w:tcW w:w="1705" w:type="dxa"/>
            <w:gridSpan w:val="2"/>
            <w:tcMar/>
            <w:vAlign w:val="center"/>
          </w:tcPr>
          <w:p w:rsidRPr="000A78CA" w:rsidR="00A938AE" w:rsidP="0C27FA8B" w:rsidRDefault="00985D45" w14:paraId="461A8A40" w14:textId="449002F1">
            <w:pPr>
              <w:rPr>
                <w:rFonts w:ascii="Arial" w:hAnsi="Arial" w:cs="Arial"/>
              </w:rPr>
            </w:pPr>
            <w:r w:rsidRPr="0C27FA8B" w:rsidR="00985D45">
              <w:rPr>
                <w:rFonts w:ascii="Arial" w:hAnsi="Arial" w:cs="Arial"/>
              </w:rPr>
              <w:t>3</w:t>
            </w:r>
            <w:r w:rsidRPr="0C27FA8B" w:rsidR="7DB93071">
              <w:rPr>
                <w:rFonts w:ascii="Arial" w:hAnsi="Arial" w:cs="Arial"/>
              </w:rPr>
              <w:t>59</w:t>
            </w:r>
          </w:p>
        </w:tc>
        <w:tc>
          <w:tcPr>
            <w:tcW w:w="1705" w:type="dxa"/>
            <w:tcMar/>
            <w:vAlign w:val="center"/>
          </w:tcPr>
          <w:p w:rsidRPr="000A78CA" w:rsidR="00A938AE" w:rsidP="0C27FA8B" w:rsidRDefault="00985D45" w14:paraId="03368C46" w14:textId="3FFA6C20">
            <w:pPr>
              <w:rPr>
                <w:rFonts w:ascii="Arial" w:hAnsi="Arial" w:cs="Arial"/>
              </w:rPr>
            </w:pPr>
            <w:r w:rsidRPr="0C27FA8B" w:rsidR="7DB93071">
              <w:rPr>
                <w:rFonts w:ascii="Arial" w:hAnsi="Arial" w:cs="Arial"/>
              </w:rPr>
              <w:t>89</w:t>
            </w:r>
          </w:p>
        </w:tc>
        <w:tc>
          <w:tcPr>
            <w:tcW w:w="2075" w:type="dxa"/>
            <w:tcMar/>
            <w:vAlign w:val="center"/>
          </w:tcPr>
          <w:p w:rsidRPr="000A78CA" w:rsidR="00A938AE" w:rsidP="0C27FA8B" w:rsidRDefault="005C3587" w14:paraId="5EB016CB" w14:textId="2B6C4033">
            <w:pPr>
              <w:rPr>
                <w:rFonts w:ascii="Arial" w:hAnsi="Arial" w:cs="Arial"/>
              </w:rPr>
            </w:pPr>
            <w:r w:rsidRPr="0C27FA8B" w:rsidR="005C3587">
              <w:rPr>
                <w:rFonts w:ascii="Arial" w:hAnsi="Arial" w:cs="Arial"/>
              </w:rPr>
              <w:t>£1</w:t>
            </w:r>
            <w:r w:rsidRPr="0C27FA8B" w:rsidR="75FEA0D1">
              <w:rPr>
                <w:rFonts w:ascii="Arial" w:hAnsi="Arial" w:cs="Arial"/>
              </w:rPr>
              <w:t>8.00</w:t>
            </w:r>
          </w:p>
        </w:tc>
        <w:tc>
          <w:tcPr>
            <w:tcW w:w="2075" w:type="dxa"/>
            <w:tcMar/>
            <w:vAlign w:val="center"/>
          </w:tcPr>
          <w:p w:rsidRPr="000A78CA" w:rsidR="00A938AE" w:rsidP="0C27FA8B" w:rsidRDefault="005C3587" w14:paraId="246760E3" w14:textId="72448059">
            <w:pPr>
              <w:rPr>
                <w:rFonts w:ascii="Arial" w:hAnsi="Arial" w:cs="Arial"/>
              </w:rPr>
            </w:pPr>
            <w:r w:rsidRPr="0C27FA8B" w:rsidR="005C3587">
              <w:rPr>
                <w:rFonts w:ascii="Arial" w:hAnsi="Arial" w:cs="Arial"/>
              </w:rPr>
              <w:t>£2</w:t>
            </w:r>
            <w:r w:rsidRPr="0C27FA8B" w:rsidR="1FDD02CF">
              <w:rPr>
                <w:rFonts w:ascii="Arial" w:hAnsi="Arial" w:cs="Arial"/>
              </w:rPr>
              <w:t>6.79</w:t>
            </w:r>
          </w:p>
        </w:tc>
      </w:tr>
      <w:tr w:rsidRPr="00C077F1" w:rsidR="00A938AE" w:rsidTr="0C27FA8B" w14:paraId="4AB02F8B" w14:textId="77777777">
        <w:trPr>
          <w:trHeight w:val="340"/>
          <w:jc w:val="center"/>
        </w:trPr>
        <w:tc>
          <w:tcPr>
            <w:tcW w:w="2641" w:type="dxa"/>
            <w:tcMar/>
            <w:vAlign w:val="center"/>
          </w:tcPr>
          <w:p w:rsidRPr="00C077F1" w:rsidR="00A938AE" w:rsidP="00B46400" w:rsidRDefault="007A5A9B" w14:paraId="73B68F31" w14:textId="67345ECE">
            <w:pPr>
              <w:rPr>
                <w:rFonts w:ascii="Arial" w:hAnsi="Arial" w:cs="Arial"/>
              </w:rPr>
            </w:pPr>
            <w:r w:rsidRPr="00C077F1">
              <w:rPr>
                <w:rFonts w:ascii="Arial" w:hAnsi="Arial" w:cs="Arial"/>
              </w:rPr>
              <w:t>Male</w:t>
            </w:r>
          </w:p>
        </w:tc>
        <w:tc>
          <w:tcPr>
            <w:tcW w:w="1705" w:type="dxa"/>
            <w:gridSpan w:val="2"/>
            <w:tcMar/>
            <w:vAlign w:val="center"/>
          </w:tcPr>
          <w:p w:rsidRPr="000A78CA" w:rsidR="00A938AE" w:rsidP="0C27FA8B" w:rsidRDefault="00985D45" w14:paraId="3DA0393F" w14:textId="0F61CEDC">
            <w:pPr>
              <w:rPr>
                <w:rFonts w:ascii="Arial" w:hAnsi="Arial" w:cs="Arial"/>
              </w:rPr>
            </w:pPr>
            <w:r w:rsidRPr="0C27FA8B" w:rsidR="4291EFEB">
              <w:rPr>
                <w:rFonts w:ascii="Arial" w:hAnsi="Arial" w:cs="Arial"/>
              </w:rPr>
              <w:t>44</w:t>
            </w:r>
          </w:p>
        </w:tc>
        <w:tc>
          <w:tcPr>
            <w:tcW w:w="1705" w:type="dxa"/>
            <w:tcMar/>
            <w:vAlign w:val="center"/>
          </w:tcPr>
          <w:p w:rsidRPr="000A78CA" w:rsidR="00A938AE" w:rsidP="0C27FA8B" w:rsidRDefault="00985D45" w14:paraId="46C0F5D6" w14:textId="71F9959F">
            <w:pPr>
              <w:rPr>
                <w:rFonts w:ascii="Arial" w:hAnsi="Arial" w:cs="Arial"/>
              </w:rPr>
            </w:pPr>
            <w:r w:rsidRPr="0C27FA8B" w:rsidR="4291EFEB">
              <w:rPr>
                <w:rFonts w:ascii="Arial" w:hAnsi="Arial" w:cs="Arial"/>
              </w:rPr>
              <w:t>11</w:t>
            </w:r>
          </w:p>
        </w:tc>
        <w:tc>
          <w:tcPr>
            <w:tcW w:w="2075" w:type="dxa"/>
            <w:tcMar/>
            <w:vAlign w:val="center"/>
          </w:tcPr>
          <w:p w:rsidRPr="000A78CA" w:rsidR="00A938AE" w:rsidP="0C27FA8B" w:rsidRDefault="005C3587" w14:paraId="73A3E54F" w14:textId="69266D2F">
            <w:pPr>
              <w:rPr>
                <w:rFonts w:ascii="Arial" w:hAnsi="Arial" w:cs="Arial"/>
              </w:rPr>
            </w:pPr>
            <w:r w:rsidRPr="0C27FA8B" w:rsidR="005C3587">
              <w:rPr>
                <w:rFonts w:ascii="Arial" w:hAnsi="Arial" w:cs="Arial"/>
              </w:rPr>
              <w:t>£</w:t>
            </w:r>
            <w:r w:rsidRPr="0C27FA8B" w:rsidR="2848395F">
              <w:rPr>
                <w:rFonts w:ascii="Arial" w:hAnsi="Arial" w:cs="Arial"/>
              </w:rPr>
              <w:t>34.40</w:t>
            </w:r>
          </w:p>
        </w:tc>
        <w:tc>
          <w:tcPr>
            <w:tcW w:w="2075" w:type="dxa"/>
            <w:tcMar/>
            <w:vAlign w:val="center"/>
          </w:tcPr>
          <w:p w:rsidRPr="000A78CA" w:rsidR="00A938AE" w:rsidP="0C27FA8B" w:rsidRDefault="005C3587" w14:paraId="71A10E58" w14:textId="4E18F73E">
            <w:pPr>
              <w:rPr>
                <w:rFonts w:ascii="Arial" w:hAnsi="Arial" w:cs="Arial"/>
              </w:rPr>
            </w:pPr>
            <w:r w:rsidRPr="0C27FA8B" w:rsidR="005C3587">
              <w:rPr>
                <w:rFonts w:ascii="Arial" w:hAnsi="Arial" w:cs="Arial"/>
              </w:rPr>
              <w:t>£3</w:t>
            </w:r>
            <w:r w:rsidRPr="0C27FA8B" w:rsidR="32671583">
              <w:rPr>
                <w:rFonts w:ascii="Arial" w:hAnsi="Arial" w:cs="Arial"/>
              </w:rPr>
              <w:t>4</w:t>
            </w:r>
            <w:r w:rsidRPr="0C27FA8B" w:rsidR="005C3587">
              <w:rPr>
                <w:rFonts w:ascii="Arial" w:hAnsi="Arial" w:cs="Arial"/>
              </w:rPr>
              <w:t>.</w:t>
            </w:r>
            <w:r w:rsidRPr="0C27FA8B" w:rsidR="4E8EE4F8">
              <w:rPr>
                <w:rFonts w:ascii="Arial" w:hAnsi="Arial" w:cs="Arial"/>
              </w:rPr>
              <w:t>10</w:t>
            </w:r>
          </w:p>
        </w:tc>
      </w:tr>
      <w:tr w:rsidRPr="00C077F1" w:rsidR="00A938AE" w:rsidTr="0C27FA8B" w14:paraId="4ADAF68B" w14:textId="77777777">
        <w:trPr>
          <w:trHeight w:val="340"/>
          <w:jc w:val="center"/>
        </w:trPr>
        <w:tc>
          <w:tcPr>
            <w:tcW w:w="2641" w:type="dxa"/>
            <w:tcMar/>
            <w:vAlign w:val="center"/>
          </w:tcPr>
          <w:p w:rsidRPr="00C077F1" w:rsidR="00A938AE" w:rsidP="00B46400" w:rsidRDefault="007A5A9B" w14:paraId="641CBEC9" w14:textId="53F5C18D">
            <w:pPr>
              <w:rPr>
                <w:rFonts w:ascii="Arial" w:hAnsi="Arial" w:cs="Arial"/>
              </w:rPr>
            </w:pPr>
            <w:r w:rsidRPr="00C077F1">
              <w:rPr>
                <w:rFonts w:ascii="Arial" w:hAnsi="Arial" w:cs="Arial"/>
              </w:rPr>
              <w:t>Total Employees</w:t>
            </w:r>
          </w:p>
        </w:tc>
        <w:tc>
          <w:tcPr>
            <w:tcW w:w="1705" w:type="dxa"/>
            <w:gridSpan w:val="2"/>
            <w:tcMar/>
            <w:vAlign w:val="center"/>
          </w:tcPr>
          <w:p w:rsidRPr="000A78CA" w:rsidR="00A938AE" w:rsidP="0C27FA8B" w:rsidRDefault="00985D45" w14:paraId="3DD01650" w14:textId="6DB346D3">
            <w:pPr>
              <w:rPr>
                <w:rFonts w:ascii="Arial" w:hAnsi="Arial" w:cs="Arial"/>
              </w:rPr>
            </w:pPr>
            <w:r w:rsidRPr="0C27FA8B" w:rsidR="06CE31D7">
              <w:rPr>
                <w:rFonts w:ascii="Arial" w:hAnsi="Arial" w:cs="Arial"/>
              </w:rPr>
              <w:t>403</w:t>
            </w:r>
          </w:p>
        </w:tc>
        <w:tc>
          <w:tcPr>
            <w:tcW w:w="1705" w:type="dxa"/>
            <w:tcMar/>
            <w:vAlign w:val="center"/>
          </w:tcPr>
          <w:p w:rsidRPr="000A78CA" w:rsidR="00A938AE" w:rsidP="0C27FA8B" w:rsidRDefault="00985D45" w14:paraId="72F4C71D" w14:textId="3C16616E">
            <w:pPr>
              <w:rPr>
                <w:rFonts w:ascii="Arial" w:hAnsi="Arial" w:cs="Arial"/>
              </w:rPr>
            </w:pPr>
            <w:r w:rsidRPr="0C27FA8B" w:rsidR="00985D45">
              <w:rPr>
                <w:rFonts w:ascii="Arial" w:hAnsi="Arial" w:cs="Arial"/>
              </w:rPr>
              <w:t>100</w:t>
            </w:r>
          </w:p>
        </w:tc>
        <w:tc>
          <w:tcPr>
            <w:tcW w:w="2075" w:type="dxa"/>
            <w:tcMar/>
            <w:vAlign w:val="center"/>
          </w:tcPr>
          <w:p w:rsidRPr="000A78CA" w:rsidR="00A938AE" w:rsidP="0C27FA8B" w:rsidRDefault="00A938AE" w14:paraId="33878B63" w14:textId="77777777">
            <w:pPr>
              <w:rPr>
                <w:rFonts w:ascii="Arial" w:hAnsi="Arial" w:cs="Arial"/>
              </w:rPr>
            </w:pPr>
          </w:p>
        </w:tc>
        <w:tc>
          <w:tcPr>
            <w:tcW w:w="2075" w:type="dxa"/>
            <w:tcMar/>
            <w:vAlign w:val="center"/>
          </w:tcPr>
          <w:p w:rsidRPr="000A78CA" w:rsidR="00A938AE" w:rsidP="0C27FA8B" w:rsidRDefault="00A938AE" w14:paraId="71FB2583" w14:textId="77777777">
            <w:pPr>
              <w:rPr>
                <w:rFonts w:ascii="Arial" w:hAnsi="Arial" w:cs="Arial"/>
              </w:rPr>
            </w:pPr>
          </w:p>
        </w:tc>
      </w:tr>
      <w:tr w:rsidRPr="00C077F1" w:rsidR="007A5EDE" w:rsidTr="0C27FA8B" w14:paraId="0FCE79B3" w14:textId="77777777">
        <w:trPr>
          <w:trHeight w:val="340"/>
          <w:jc w:val="center"/>
        </w:trPr>
        <w:tc>
          <w:tcPr>
            <w:tcW w:w="2641" w:type="dxa"/>
            <w:tcMar/>
            <w:vAlign w:val="center"/>
          </w:tcPr>
          <w:p w:rsidRPr="00C077F1" w:rsidR="007A5EDE" w:rsidP="00B46400" w:rsidRDefault="007A5A9B" w14:paraId="3A311433" w14:textId="6B40D621">
            <w:pPr>
              <w:rPr>
                <w:rFonts w:ascii="Arial" w:hAnsi="Arial" w:cs="Arial"/>
              </w:rPr>
            </w:pPr>
            <w:r w:rsidRPr="00C077F1">
              <w:rPr>
                <w:rFonts w:ascii="Arial" w:hAnsi="Arial" w:cs="Arial"/>
              </w:rPr>
              <w:t>Percentage Differe</w:t>
            </w:r>
            <w:r w:rsidRPr="00C077F1" w:rsidR="00256DEB">
              <w:rPr>
                <w:rFonts w:ascii="Arial" w:hAnsi="Arial" w:cs="Arial"/>
              </w:rPr>
              <w:t>nce</w:t>
            </w:r>
          </w:p>
        </w:tc>
        <w:tc>
          <w:tcPr>
            <w:tcW w:w="1650" w:type="dxa"/>
            <w:shd w:val="clear" w:color="auto" w:fill="002060"/>
            <w:tcMar/>
            <w:vAlign w:val="center"/>
          </w:tcPr>
          <w:p w:rsidRPr="00C077F1" w:rsidR="007A5EDE" w:rsidP="00B46400" w:rsidRDefault="007A5EDE" w14:paraId="07E0BA81" w14:textId="77777777">
            <w:pPr>
              <w:rPr>
                <w:rFonts w:ascii="Arial" w:hAnsi="Arial" w:cs="Arial"/>
              </w:rPr>
            </w:pPr>
          </w:p>
        </w:tc>
        <w:tc>
          <w:tcPr>
            <w:tcW w:w="1760" w:type="dxa"/>
            <w:gridSpan w:val="2"/>
            <w:shd w:val="clear" w:color="auto" w:fill="002060"/>
            <w:tcMar/>
            <w:vAlign w:val="center"/>
          </w:tcPr>
          <w:p w:rsidRPr="00C077F1" w:rsidR="007A5EDE" w:rsidP="00B46400" w:rsidRDefault="007A5EDE" w14:paraId="535F8F66" w14:textId="77777777">
            <w:pPr>
              <w:rPr>
                <w:rFonts w:ascii="Arial" w:hAnsi="Arial" w:cs="Arial"/>
              </w:rPr>
            </w:pPr>
          </w:p>
        </w:tc>
        <w:tc>
          <w:tcPr>
            <w:tcW w:w="2075" w:type="dxa"/>
            <w:tcMar/>
            <w:vAlign w:val="center"/>
          </w:tcPr>
          <w:p w:rsidRPr="000A78CA" w:rsidR="007A5EDE" w:rsidP="0C27FA8B" w:rsidRDefault="005C3587" w14:paraId="140D2029" w14:textId="5F2BFE3F">
            <w:pPr>
              <w:rPr>
                <w:rFonts w:ascii="Arial" w:hAnsi="Arial" w:cs="Arial"/>
              </w:rPr>
            </w:pPr>
            <w:r w:rsidRPr="0C27FA8B" w:rsidR="16A15D94">
              <w:rPr>
                <w:rFonts w:ascii="Arial" w:hAnsi="Arial" w:cs="Arial"/>
              </w:rPr>
              <w:t>47.67</w:t>
            </w:r>
            <w:r w:rsidRPr="0C27FA8B" w:rsidR="005C3587">
              <w:rPr>
                <w:rFonts w:ascii="Arial" w:hAnsi="Arial" w:cs="Arial"/>
              </w:rPr>
              <w:t>%</w:t>
            </w:r>
          </w:p>
        </w:tc>
        <w:tc>
          <w:tcPr>
            <w:tcW w:w="2075" w:type="dxa"/>
            <w:tcMar/>
            <w:vAlign w:val="center"/>
          </w:tcPr>
          <w:p w:rsidRPr="000A78CA" w:rsidR="007A5EDE" w:rsidP="0C27FA8B" w:rsidRDefault="005C3587" w14:paraId="56979225" w14:textId="1D155760">
            <w:pPr>
              <w:rPr>
                <w:rFonts w:ascii="Arial" w:hAnsi="Arial" w:cs="Arial"/>
              </w:rPr>
            </w:pPr>
            <w:r w:rsidRPr="0C27FA8B" w:rsidR="0BF02049">
              <w:rPr>
                <w:rFonts w:ascii="Arial" w:hAnsi="Arial" w:cs="Arial"/>
              </w:rPr>
              <w:t>2</w:t>
            </w:r>
            <w:r w:rsidRPr="0C27FA8B" w:rsidR="005C3587">
              <w:rPr>
                <w:rFonts w:ascii="Arial" w:hAnsi="Arial" w:cs="Arial"/>
              </w:rPr>
              <w:t>1.</w:t>
            </w:r>
            <w:r w:rsidRPr="0C27FA8B" w:rsidR="0C1DB0B1">
              <w:rPr>
                <w:rFonts w:ascii="Arial" w:hAnsi="Arial" w:cs="Arial"/>
              </w:rPr>
              <w:t>44</w:t>
            </w:r>
            <w:r w:rsidRPr="0C27FA8B" w:rsidR="005C3587">
              <w:rPr>
                <w:rFonts w:ascii="Arial" w:hAnsi="Arial" w:cs="Arial"/>
              </w:rPr>
              <w:t>%</w:t>
            </w:r>
          </w:p>
        </w:tc>
      </w:tr>
    </w:tbl>
    <w:p w:rsidRPr="00C077F1" w:rsidR="0011367D" w:rsidRDefault="0011367D" w14:paraId="52D61FFC" w14:textId="77777777">
      <w:pPr>
        <w:rPr>
          <w:rFonts w:ascii="Arial" w:hAnsi="Arial" w:cs="Arial"/>
        </w:rPr>
      </w:pPr>
    </w:p>
    <w:p w:rsidRPr="00CB2A87" w:rsidR="00266174" w:rsidP="3C2EEABD" w:rsidRDefault="0050013A" w14:paraId="2518C2D1" w14:textId="6CC7A3B7">
      <w:pPr>
        <w:pStyle w:val="Heading2"/>
        <w:numPr>
          <w:ilvl w:val="0"/>
          <w:numId w:val="0"/>
        </w:numPr>
        <w:rPr>
          <w:color w:val="B823B8"/>
        </w:rPr>
      </w:pPr>
      <w:r w:rsidRPr="3C2EEABD">
        <w:rPr>
          <w:color w:val="B823B8"/>
        </w:rPr>
        <w:t>M</w:t>
      </w:r>
      <w:r w:rsidRPr="3C2EEABD" w:rsidR="00266174">
        <w:rPr>
          <w:color w:val="B823B8"/>
        </w:rPr>
        <w:t>edian Gender Pay Gap</w:t>
      </w:r>
    </w:p>
    <w:p w:rsidR="3352DA3A" w:rsidP="000A78CA" w:rsidRDefault="00266174" w14:paraId="426A9D42" w14:textId="58449472">
      <w:pPr>
        <w:rPr>
          <w:color w:val="B823B8"/>
        </w:rPr>
      </w:pPr>
      <w:r w:rsidRPr="0C27FA8B" w:rsidR="00266174">
        <w:rPr>
          <w:rFonts w:ascii="Arial" w:hAnsi="Arial" w:cs="Arial"/>
        </w:rPr>
        <w:t>The difference in the 202</w:t>
      </w:r>
      <w:r w:rsidRPr="0C27FA8B" w:rsidR="000A78CA">
        <w:rPr>
          <w:rFonts w:ascii="Arial" w:hAnsi="Arial" w:cs="Arial"/>
        </w:rPr>
        <w:t>5</w:t>
      </w:r>
      <w:r w:rsidRPr="0C27FA8B" w:rsidR="00266174">
        <w:rPr>
          <w:rFonts w:ascii="Arial" w:hAnsi="Arial" w:cs="Arial"/>
        </w:rPr>
        <w:t xml:space="preserve"> median hourly rate of pay that male and female full pay relevant employees receive is</w:t>
      </w:r>
      <w:r w:rsidRPr="0C27FA8B" w:rsidR="00266174">
        <w:rPr>
          <w:rFonts w:ascii="Arial" w:hAnsi="Arial" w:cs="Arial"/>
        </w:rPr>
        <w:t xml:space="preserve"> </w:t>
      </w:r>
      <w:r w:rsidRPr="0C27FA8B" w:rsidR="0033546B">
        <w:rPr>
          <w:rFonts w:ascii="Arial" w:hAnsi="Arial" w:cs="Arial"/>
        </w:rPr>
        <w:t>4</w:t>
      </w:r>
      <w:r w:rsidRPr="0C27FA8B" w:rsidR="4E4B4C2E">
        <w:rPr>
          <w:rFonts w:ascii="Arial" w:hAnsi="Arial" w:cs="Arial"/>
        </w:rPr>
        <w:t>7</w:t>
      </w:r>
      <w:r w:rsidRPr="0C27FA8B" w:rsidR="0033546B">
        <w:rPr>
          <w:rFonts w:ascii="Arial" w:hAnsi="Arial" w:cs="Arial"/>
        </w:rPr>
        <w:t>.</w:t>
      </w:r>
      <w:r w:rsidRPr="0C27FA8B" w:rsidR="1551B16D">
        <w:rPr>
          <w:rFonts w:ascii="Arial" w:hAnsi="Arial" w:cs="Arial"/>
        </w:rPr>
        <w:t>67</w:t>
      </w:r>
      <w:r w:rsidRPr="0C27FA8B" w:rsidR="00266174">
        <w:rPr>
          <w:rFonts w:ascii="Arial" w:hAnsi="Arial" w:cs="Arial"/>
        </w:rPr>
        <w:t>%</w:t>
      </w:r>
      <w:r w:rsidRPr="0C27FA8B" w:rsidR="00266174">
        <w:rPr>
          <w:rFonts w:ascii="Arial" w:hAnsi="Arial" w:cs="Arial"/>
        </w:rPr>
        <w:t>.</w:t>
      </w:r>
      <w:r w:rsidRPr="0C27FA8B" w:rsidR="00266174">
        <w:rPr>
          <w:rFonts w:ascii="Arial" w:hAnsi="Arial" w:cs="Arial"/>
        </w:rPr>
        <w:t xml:space="preserve"> This difference means that the median female employee is paid </w:t>
      </w:r>
      <w:r w:rsidRPr="0C27FA8B" w:rsidR="0033546B">
        <w:rPr>
          <w:rFonts w:ascii="Arial" w:hAnsi="Arial" w:cs="Arial"/>
        </w:rPr>
        <w:t>4</w:t>
      </w:r>
      <w:r w:rsidRPr="0C27FA8B" w:rsidR="77732DD1">
        <w:rPr>
          <w:rFonts w:ascii="Arial" w:hAnsi="Arial" w:cs="Arial"/>
        </w:rPr>
        <w:t>7.67</w:t>
      </w:r>
      <w:r w:rsidRPr="0C27FA8B" w:rsidR="00266174">
        <w:rPr>
          <w:rFonts w:ascii="Arial" w:hAnsi="Arial" w:cs="Arial"/>
        </w:rPr>
        <w:t>% less than the median male employee</w:t>
      </w:r>
    </w:p>
    <w:p w:rsidRPr="00C077F1" w:rsidR="00F40052" w:rsidP="3C2EEABD" w:rsidRDefault="00F40052" w14:paraId="3A7FCD10" w14:textId="436013AE">
      <w:pPr>
        <w:pStyle w:val="Heading2"/>
        <w:numPr>
          <w:ilvl w:val="0"/>
          <w:numId w:val="0"/>
        </w:numPr>
        <w:rPr>
          <w:color w:val="B823B8"/>
        </w:rPr>
      </w:pPr>
      <w:r w:rsidRPr="3C2EEABD">
        <w:rPr>
          <w:color w:val="B823B8"/>
        </w:rPr>
        <w:t>Mean Gender Pay Gap</w:t>
      </w:r>
    </w:p>
    <w:p w:rsidR="00F40052" w:rsidP="00F40052" w:rsidRDefault="00F40052" w14:paraId="4049EEBB" w14:textId="70863C3C">
      <w:pPr>
        <w:rPr>
          <w:rFonts w:ascii="Arial" w:hAnsi="Arial" w:cs="Arial"/>
        </w:rPr>
      </w:pPr>
      <w:r w:rsidRPr="0C27FA8B" w:rsidR="00F40052">
        <w:rPr>
          <w:rFonts w:ascii="Arial" w:hAnsi="Arial" w:cs="Arial"/>
        </w:rPr>
        <w:t>The difference in the 202</w:t>
      </w:r>
      <w:r w:rsidRPr="0C27FA8B" w:rsidR="000A78CA">
        <w:rPr>
          <w:rFonts w:ascii="Arial" w:hAnsi="Arial" w:cs="Arial"/>
        </w:rPr>
        <w:t>5</w:t>
      </w:r>
      <w:r w:rsidRPr="0C27FA8B" w:rsidR="00F40052">
        <w:rPr>
          <w:rFonts w:ascii="Arial" w:hAnsi="Arial" w:cs="Arial"/>
        </w:rPr>
        <w:t xml:space="preserve"> mean hourly pay rate of pay that male and female full pay relevant employees receive is </w:t>
      </w:r>
      <w:r w:rsidRPr="0C27FA8B" w:rsidR="30E46813">
        <w:rPr>
          <w:rFonts w:ascii="Arial" w:hAnsi="Arial" w:cs="Arial"/>
        </w:rPr>
        <w:t>2</w:t>
      </w:r>
      <w:r w:rsidRPr="0C27FA8B" w:rsidR="0033546B">
        <w:rPr>
          <w:rFonts w:ascii="Arial" w:hAnsi="Arial" w:cs="Arial"/>
        </w:rPr>
        <w:t>1.</w:t>
      </w:r>
      <w:r w:rsidRPr="0C27FA8B" w:rsidR="30C66DE4">
        <w:rPr>
          <w:rFonts w:ascii="Arial" w:hAnsi="Arial" w:cs="Arial"/>
        </w:rPr>
        <w:t>44</w:t>
      </w:r>
      <w:r w:rsidRPr="0C27FA8B" w:rsidR="5DBD5D61">
        <w:rPr>
          <w:rFonts w:ascii="Arial" w:hAnsi="Arial" w:cs="Arial"/>
        </w:rPr>
        <w:t>%</w:t>
      </w:r>
      <w:r w:rsidRPr="0C27FA8B" w:rsidR="00F40052">
        <w:rPr>
          <w:rFonts w:ascii="Arial" w:hAnsi="Arial" w:cs="Arial"/>
        </w:rPr>
        <w:t>.</w:t>
      </w:r>
      <w:r w:rsidRPr="0C27FA8B" w:rsidR="00F40052">
        <w:rPr>
          <w:rFonts w:ascii="Arial" w:hAnsi="Arial" w:cs="Arial"/>
        </w:rPr>
        <w:t xml:space="preserve"> This difference means that female employees are paid </w:t>
      </w:r>
      <w:r w:rsidRPr="0C27FA8B" w:rsidR="7C9C642F">
        <w:rPr>
          <w:rFonts w:ascii="Arial" w:hAnsi="Arial" w:cs="Arial"/>
        </w:rPr>
        <w:t>2</w:t>
      </w:r>
      <w:r w:rsidRPr="0C27FA8B" w:rsidR="0033546B">
        <w:rPr>
          <w:rFonts w:ascii="Arial" w:hAnsi="Arial" w:cs="Arial"/>
        </w:rPr>
        <w:t>1.</w:t>
      </w:r>
      <w:r w:rsidRPr="0C27FA8B" w:rsidR="673C340B">
        <w:rPr>
          <w:rFonts w:ascii="Arial" w:hAnsi="Arial" w:cs="Arial"/>
        </w:rPr>
        <w:t>44</w:t>
      </w:r>
      <w:r w:rsidRPr="0C27FA8B" w:rsidR="00F40052">
        <w:rPr>
          <w:rFonts w:ascii="Arial" w:hAnsi="Arial" w:cs="Arial"/>
        </w:rPr>
        <w:t>%</w:t>
      </w:r>
      <w:r w:rsidRPr="0C27FA8B" w:rsidR="00F40052">
        <w:rPr>
          <w:rFonts w:ascii="Arial" w:hAnsi="Arial" w:cs="Arial"/>
        </w:rPr>
        <w:t xml:space="preserve"> less as a mean average.</w:t>
      </w:r>
    </w:p>
    <w:p w:rsidRPr="00C077F1" w:rsidR="00CA051E" w:rsidP="3C2EEABD" w:rsidRDefault="00CA051E" w14:paraId="543563DA" w14:textId="0BC299A7">
      <w:pPr>
        <w:pStyle w:val="Heading2"/>
        <w:numPr>
          <w:ilvl w:val="0"/>
          <w:numId w:val="0"/>
        </w:numPr>
        <w:rPr>
          <w:color w:val="B823B8"/>
        </w:rPr>
      </w:pPr>
      <w:r w:rsidRPr="3C2EEABD">
        <w:rPr>
          <w:color w:val="B823B8"/>
        </w:rPr>
        <w:lastRenderedPageBreak/>
        <w:t>Bonus</w:t>
      </w:r>
    </w:p>
    <w:p w:rsidRPr="00C077F1" w:rsidR="00CA051E" w:rsidP="00CA051E" w:rsidRDefault="00CA051E" w14:paraId="1E251B7F" w14:textId="59C74B20">
      <w:pPr>
        <w:rPr>
          <w:rFonts w:ascii="Arial" w:hAnsi="Arial" w:cs="Arial"/>
        </w:rPr>
      </w:pPr>
      <w:r w:rsidRPr="00C077F1">
        <w:rPr>
          <w:rFonts w:ascii="Arial" w:hAnsi="Arial" w:cs="Arial"/>
        </w:rPr>
        <w:t>ONE Academy Trust does not operate a bonus scheme</w:t>
      </w:r>
      <w:r w:rsidRPr="00C077F1" w:rsidR="00C82CD0">
        <w:rPr>
          <w:rFonts w:ascii="Arial" w:hAnsi="Arial" w:cs="Arial"/>
        </w:rPr>
        <w:t>.</w:t>
      </w:r>
    </w:p>
    <w:p w:rsidRPr="00C077F1" w:rsidR="00C82CD0" w:rsidP="3C2EEABD" w:rsidRDefault="00C82CD0" w14:paraId="2EA6C4B6" w14:textId="4D962726">
      <w:pPr>
        <w:pStyle w:val="Heading2"/>
        <w:numPr>
          <w:ilvl w:val="0"/>
          <w:numId w:val="0"/>
        </w:numPr>
        <w:ind w:left="426"/>
      </w:pPr>
      <w:r>
        <w:t xml:space="preserve">The proportion of males and females in each </w:t>
      </w:r>
      <w:r w:rsidR="00AA7D33">
        <w:t>pay quartile</w:t>
      </w:r>
    </w:p>
    <w:tbl>
      <w:tblPr>
        <w:tblStyle w:val="TableGrid"/>
        <w:tblW w:w="0" w:type="auto"/>
        <w:tblInd w:w="562" w:type="dxa"/>
        <w:tblLook w:val="04A0" w:firstRow="1" w:lastRow="0" w:firstColumn="1" w:lastColumn="0" w:noHBand="0" w:noVBand="1"/>
      </w:tblPr>
      <w:tblGrid>
        <w:gridCol w:w="2694"/>
        <w:gridCol w:w="1239"/>
        <w:gridCol w:w="1240"/>
        <w:gridCol w:w="1240"/>
        <w:gridCol w:w="1240"/>
      </w:tblGrid>
      <w:tr w:rsidRPr="00C077F1" w:rsidR="00386354" w:rsidTr="0C27FA8B" w14:paraId="5FD0CB14" w14:textId="77777777">
        <w:trPr>
          <w:trHeight w:val="340"/>
        </w:trPr>
        <w:tc>
          <w:tcPr>
            <w:tcW w:w="2694" w:type="dxa"/>
            <w:tcMar/>
            <w:vAlign w:val="center"/>
          </w:tcPr>
          <w:p w:rsidRPr="00CB2A87" w:rsidR="00386354" w:rsidP="00420B08" w:rsidRDefault="008A60A0" w14:paraId="29846849" w14:textId="6287EA26">
            <w:pPr>
              <w:rPr>
                <w:rFonts w:ascii="Arial" w:hAnsi="Arial" w:cs="Arial"/>
                <w:b/>
                <w:bCs/>
              </w:rPr>
            </w:pPr>
            <w:r w:rsidRPr="00CB2A87">
              <w:rPr>
                <w:rFonts w:ascii="Arial" w:hAnsi="Arial" w:cs="Arial"/>
                <w:b/>
                <w:bCs/>
              </w:rPr>
              <w:t>202</w:t>
            </w:r>
            <w:r w:rsidR="000A78CA">
              <w:rPr>
                <w:rFonts w:ascii="Arial" w:hAnsi="Arial" w:cs="Arial"/>
                <w:b/>
                <w:bCs/>
              </w:rPr>
              <w:t>4</w:t>
            </w:r>
            <w:r w:rsidRPr="00CB2A87">
              <w:rPr>
                <w:rFonts w:ascii="Arial" w:hAnsi="Arial" w:cs="Arial"/>
                <w:b/>
                <w:bCs/>
              </w:rPr>
              <w:t>-2</w:t>
            </w:r>
            <w:r w:rsidR="000A78CA">
              <w:rPr>
                <w:rFonts w:ascii="Arial" w:hAnsi="Arial" w:cs="Arial"/>
                <w:b/>
                <w:bCs/>
              </w:rPr>
              <w:t>5</w:t>
            </w:r>
            <w:r w:rsidRPr="00CB2A87">
              <w:rPr>
                <w:rFonts w:ascii="Arial" w:hAnsi="Arial" w:cs="Arial"/>
                <w:b/>
                <w:bCs/>
              </w:rPr>
              <w:t xml:space="preserve"> return</w:t>
            </w:r>
          </w:p>
        </w:tc>
        <w:tc>
          <w:tcPr>
            <w:tcW w:w="1239" w:type="dxa"/>
            <w:tcMar/>
            <w:vAlign w:val="center"/>
          </w:tcPr>
          <w:p w:rsidRPr="00C077F1" w:rsidR="00386354" w:rsidP="00420B08" w:rsidRDefault="00386354" w14:paraId="57A1859F" w14:textId="77777777">
            <w:pPr>
              <w:rPr>
                <w:rFonts w:ascii="Arial" w:hAnsi="Arial" w:cs="Arial"/>
              </w:rPr>
            </w:pPr>
          </w:p>
        </w:tc>
        <w:tc>
          <w:tcPr>
            <w:tcW w:w="1240" w:type="dxa"/>
            <w:tcMar/>
            <w:vAlign w:val="center"/>
          </w:tcPr>
          <w:p w:rsidRPr="00C077F1" w:rsidR="00386354" w:rsidP="00420B08" w:rsidRDefault="00386354" w14:paraId="6A8FFB14" w14:textId="77777777">
            <w:pPr>
              <w:rPr>
                <w:rFonts w:ascii="Arial" w:hAnsi="Arial" w:cs="Arial"/>
              </w:rPr>
            </w:pPr>
          </w:p>
        </w:tc>
        <w:tc>
          <w:tcPr>
            <w:tcW w:w="1240" w:type="dxa"/>
            <w:tcMar/>
            <w:vAlign w:val="center"/>
          </w:tcPr>
          <w:p w:rsidRPr="00C077F1" w:rsidR="00386354" w:rsidP="00420B08" w:rsidRDefault="00386354" w14:paraId="30A011B2" w14:textId="77777777">
            <w:pPr>
              <w:rPr>
                <w:rFonts w:ascii="Arial" w:hAnsi="Arial" w:cs="Arial"/>
              </w:rPr>
            </w:pPr>
          </w:p>
        </w:tc>
        <w:tc>
          <w:tcPr>
            <w:tcW w:w="1240" w:type="dxa"/>
            <w:tcMar/>
            <w:vAlign w:val="center"/>
          </w:tcPr>
          <w:p w:rsidRPr="00C077F1" w:rsidR="00386354" w:rsidP="00420B08" w:rsidRDefault="00386354" w14:paraId="07D3B4EE" w14:textId="77777777">
            <w:pPr>
              <w:rPr>
                <w:rFonts w:ascii="Arial" w:hAnsi="Arial" w:cs="Arial"/>
              </w:rPr>
            </w:pPr>
          </w:p>
        </w:tc>
      </w:tr>
      <w:tr w:rsidRPr="00C077F1" w:rsidR="00386354" w:rsidTr="0C27FA8B" w14:paraId="4E5F6B66" w14:textId="77777777">
        <w:trPr>
          <w:trHeight w:val="340"/>
        </w:trPr>
        <w:tc>
          <w:tcPr>
            <w:tcW w:w="2694" w:type="dxa"/>
            <w:tcMar/>
            <w:vAlign w:val="center"/>
          </w:tcPr>
          <w:p w:rsidRPr="00C077F1" w:rsidR="00386354" w:rsidP="00420B08" w:rsidRDefault="00505C58" w14:paraId="680B9614" w14:textId="215E89F5">
            <w:pPr>
              <w:rPr>
                <w:rFonts w:ascii="Arial" w:hAnsi="Arial" w:cs="Arial"/>
              </w:rPr>
            </w:pPr>
            <w:r w:rsidRPr="00C077F1">
              <w:rPr>
                <w:rFonts w:ascii="Arial" w:hAnsi="Arial" w:cs="Arial"/>
              </w:rPr>
              <w:t>Quartile Headcount</w:t>
            </w:r>
          </w:p>
        </w:tc>
        <w:tc>
          <w:tcPr>
            <w:tcW w:w="1239" w:type="dxa"/>
            <w:tcMar/>
            <w:vAlign w:val="center"/>
          </w:tcPr>
          <w:p w:rsidRPr="00C077F1" w:rsidR="00386354" w:rsidP="00420B08" w:rsidRDefault="00505C58" w14:paraId="1F8978F9" w14:textId="1FFE6244">
            <w:pPr>
              <w:jc w:val="center"/>
              <w:rPr>
                <w:rFonts w:ascii="Arial" w:hAnsi="Arial" w:cs="Arial"/>
              </w:rPr>
            </w:pPr>
            <w:r w:rsidRPr="00C077F1">
              <w:rPr>
                <w:rFonts w:ascii="Arial" w:hAnsi="Arial" w:cs="Arial"/>
              </w:rPr>
              <w:t>1</w:t>
            </w:r>
          </w:p>
        </w:tc>
        <w:tc>
          <w:tcPr>
            <w:tcW w:w="1240" w:type="dxa"/>
            <w:tcMar/>
            <w:vAlign w:val="center"/>
          </w:tcPr>
          <w:p w:rsidRPr="00C077F1" w:rsidR="00386354" w:rsidP="00420B08" w:rsidRDefault="00505C58" w14:paraId="77F2BE06" w14:textId="7D0C9208">
            <w:pPr>
              <w:jc w:val="center"/>
              <w:rPr>
                <w:rFonts w:ascii="Arial" w:hAnsi="Arial" w:cs="Arial"/>
              </w:rPr>
            </w:pPr>
            <w:r w:rsidRPr="00C077F1">
              <w:rPr>
                <w:rFonts w:ascii="Arial" w:hAnsi="Arial" w:cs="Arial"/>
              </w:rPr>
              <w:t>2</w:t>
            </w:r>
          </w:p>
        </w:tc>
        <w:tc>
          <w:tcPr>
            <w:tcW w:w="1240" w:type="dxa"/>
            <w:tcMar/>
            <w:vAlign w:val="center"/>
          </w:tcPr>
          <w:p w:rsidRPr="00C077F1" w:rsidR="00386354" w:rsidP="00420B08" w:rsidRDefault="00505C58" w14:paraId="3670D6A7" w14:textId="664B3A1C">
            <w:pPr>
              <w:jc w:val="center"/>
              <w:rPr>
                <w:rFonts w:ascii="Arial" w:hAnsi="Arial" w:cs="Arial"/>
              </w:rPr>
            </w:pPr>
            <w:r w:rsidRPr="00C077F1">
              <w:rPr>
                <w:rFonts w:ascii="Arial" w:hAnsi="Arial" w:cs="Arial"/>
              </w:rPr>
              <w:t>3</w:t>
            </w:r>
          </w:p>
        </w:tc>
        <w:tc>
          <w:tcPr>
            <w:tcW w:w="1240" w:type="dxa"/>
            <w:tcMar/>
            <w:vAlign w:val="center"/>
          </w:tcPr>
          <w:p w:rsidRPr="00C077F1" w:rsidR="00386354" w:rsidP="00420B08" w:rsidRDefault="00505C58" w14:paraId="21E7A2DB" w14:textId="6F013217">
            <w:pPr>
              <w:jc w:val="center"/>
              <w:rPr>
                <w:rFonts w:ascii="Arial" w:hAnsi="Arial" w:cs="Arial"/>
              </w:rPr>
            </w:pPr>
            <w:r w:rsidRPr="00C077F1">
              <w:rPr>
                <w:rFonts w:ascii="Arial" w:hAnsi="Arial" w:cs="Arial"/>
              </w:rPr>
              <w:t>4</w:t>
            </w:r>
          </w:p>
        </w:tc>
      </w:tr>
      <w:tr w:rsidRPr="00C077F1" w:rsidR="00386354" w:rsidTr="0C27FA8B" w14:paraId="1EADE381" w14:textId="77777777">
        <w:trPr>
          <w:trHeight w:val="340"/>
        </w:trPr>
        <w:tc>
          <w:tcPr>
            <w:tcW w:w="2694" w:type="dxa"/>
            <w:tcMar/>
            <w:vAlign w:val="center"/>
          </w:tcPr>
          <w:p w:rsidRPr="00C077F1" w:rsidR="00386354" w:rsidP="00420B08" w:rsidRDefault="00505C58" w14:paraId="3DA7F89A" w14:textId="42DF35C6">
            <w:pPr>
              <w:rPr>
                <w:rFonts w:ascii="Arial" w:hAnsi="Arial" w:cs="Arial"/>
              </w:rPr>
            </w:pPr>
            <w:r w:rsidRPr="00C077F1">
              <w:rPr>
                <w:rFonts w:ascii="Arial" w:hAnsi="Arial" w:cs="Arial"/>
              </w:rPr>
              <w:t>F</w:t>
            </w:r>
          </w:p>
        </w:tc>
        <w:tc>
          <w:tcPr>
            <w:tcW w:w="1239" w:type="dxa"/>
            <w:tcMar/>
            <w:vAlign w:val="center"/>
          </w:tcPr>
          <w:p w:rsidRPr="000A78CA" w:rsidR="00386354" w:rsidP="0C27FA8B" w:rsidRDefault="0033546B" w14:paraId="6FF90FE6" w14:textId="14E6E9ED">
            <w:pPr>
              <w:rPr>
                <w:rFonts w:ascii="Arial" w:hAnsi="Arial" w:cs="Arial"/>
              </w:rPr>
            </w:pPr>
            <w:r w:rsidRPr="0C27FA8B" w:rsidR="3412CFDD">
              <w:rPr>
                <w:rFonts w:ascii="Arial" w:hAnsi="Arial" w:cs="Arial"/>
              </w:rPr>
              <w:t>96</w:t>
            </w:r>
          </w:p>
        </w:tc>
        <w:tc>
          <w:tcPr>
            <w:tcW w:w="1240" w:type="dxa"/>
            <w:tcMar/>
            <w:vAlign w:val="center"/>
          </w:tcPr>
          <w:p w:rsidRPr="000A78CA" w:rsidR="00386354" w:rsidP="0C27FA8B" w:rsidRDefault="0033546B" w14:paraId="40E3D03C" w14:textId="50BDD1BE">
            <w:pPr>
              <w:rPr>
                <w:rFonts w:ascii="Arial" w:hAnsi="Arial" w:cs="Arial"/>
              </w:rPr>
            </w:pPr>
            <w:r w:rsidRPr="0C27FA8B" w:rsidR="3412CFDD">
              <w:rPr>
                <w:rFonts w:ascii="Arial" w:hAnsi="Arial" w:cs="Arial"/>
              </w:rPr>
              <w:t>94</w:t>
            </w:r>
          </w:p>
        </w:tc>
        <w:tc>
          <w:tcPr>
            <w:tcW w:w="1240" w:type="dxa"/>
            <w:tcMar/>
            <w:vAlign w:val="center"/>
          </w:tcPr>
          <w:p w:rsidRPr="000A78CA" w:rsidR="00386354" w:rsidP="0C27FA8B" w:rsidRDefault="0033546B" w14:paraId="7EB85400" w14:textId="5315E0E0">
            <w:pPr>
              <w:rPr>
                <w:rFonts w:ascii="Arial" w:hAnsi="Arial" w:cs="Arial"/>
              </w:rPr>
            </w:pPr>
            <w:r w:rsidRPr="0C27FA8B" w:rsidR="3412CFDD">
              <w:rPr>
                <w:rFonts w:ascii="Arial" w:hAnsi="Arial" w:cs="Arial"/>
              </w:rPr>
              <w:t>84</w:t>
            </w:r>
          </w:p>
        </w:tc>
        <w:tc>
          <w:tcPr>
            <w:tcW w:w="1240" w:type="dxa"/>
            <w:tcMar/>
            <w:vAlign w:val="center"/>
          </w:tcPr>
          <w:p w:rsidRPr="000A78CA" w:rsidR="00386354" w:rsidP="0C27FA8B" w:rsidRDefault="0033546B" w14:paraId="007B8BC6" w14:textId="0153E880">
            <w:pPr>
              <w:rPr>
                <w:rFonts w:ascii="Arial" w:hAnsi="Arial" w:cs="Arial"/>
              </w:rPr>
            </w:pPr>
            <w:r w:rsidRPr="0C27FA8B" w:rsidR="3412CFDD">
              <w:rPr>
                <w:rFonts w:ascii="Arial" w:hAnsi="Arial" w:cs="Arial"/>
              </w:rPr>
              <w:t>85</w:t>
            </w:r>
          </w:p>
        </w:tc>
      </w:tr>
      <w:tr w:rsidRPr="00C077F1" w:rsidR="00386354" w:rsidTr="0C27FA8B" w14:paraId="067FDDFC" w14:textId="77777777">
        <w:trPr>
          <w:trHeight w:val="340"/>
        </w:trPr>
        <w:tc>
          <w:tcPr>
            <w:tcW w:w="2694" w:type="dxa"/>
            <w:tcMar/>
            <w:vAlign w:val="center"/>
          </w:tcPr>
          <w:p w:rsidRPr="00C077F1" w:rsidR="00386354" w:rsidP="00420B08" w:rsidRDefault="00505C58" w14:paraId="0FFD84AA" w14:textId="081EC87F">
            <w:pPr>
              <w:rPr>
                <w:rFonts w:ascii="Arial" w:hAnsi="Arial" w:cs="Arial"/>
              </w:rPr>
            </w:pPr>
            <w:r w:rsidRPr="00C077F1">
              <w:rPr>
                <w:rFonts w:ascii="Arial" w:hAnsi="Arial" w:cs="Arial"/>
              </w:rPr>
              <w:t>M</w:t>
            </w:r>
          </w:p>
        </w:tc>
        <w:tc>
          <w:tcPr>
            <w:tcW w:w="1239" w:type="dxa"/>
            <w:tcMar/>
            <w:vAlign w:val="center"/>
          </w:tcPr>
          <w:p w:rsidRPr="000A78CA" w:rsidR="00386354" w:rsidP="0C27FA8B" w:rsidRDefault="0033546B" w14:paraId="0BD7209A" w14:textId="7A18E972">
            <w:pPr>
              <w:rPr>
                <w:rFonts w:ascii="Arial" w:hAnsi="Arial" w:cs="Arial"/>
              </w:rPr>
            </w:pPr>
            <w:r w:rsidRPr="0C27FA8B" w:rsidR="122BFC12">
              <w:rPr>
                <w:rFonts w:ascii="Arial" w:hAnsi="Arial" w:cs="Arial"/>
              </w:rPr>
              <w:t>4</w:t>
            </w:r>
          </w:p>
        </w:tc>
        <w:tc>
          <w:tcPr>
            <w:tcW w:w="1240" w:type="dxa"/>
            <w:tcMar/>
            <w:vAlign w:val="center"/>
          </w:tcPr>
          <w:p w:rsidRPr="000A78CA" w:rsidR="00386354" w:rsidP="0C27FA8B" w:rsidRDefault="0033546B" w14:paraId="570A5D91" w14:textId="0F433DEE">
            <w:pPr>
              <w:rPr>
                <w:rFonts w:ascii="Arial" w:hAnsi="Arial" w:cs="Arial"/>
              </w:rPr>
            </w:pPr>
            <w:r w:rsidRPr="0C27FA8B" w:rsidR="122BFC12">
              <w:rPr>
                <w:rFonts w:ascii="Arial" w:hAnsi="Arial" w:cs="Arial"/>
              </w:rPr>
              <w:t>7</w:t>
            </w:r>
          </w:p>
        </w:tc>
        <w:tc>
          <w:tcPr>
            <w:tcW w:w="1240" w:type="dxa"/>
            <w:tcMar/>
            <w:vAlign w:val="center"/>
          </w:tcPr>
          <w:p w:rsidRPr="000A78CA" w:rsidR="00386354" w:rsidP="0C27FA8B" w:rsidRDefault="0033546B" w14:paraId="43B46CEA" w14:textId="7390169F">
            <w:pPr>
              <w:rPr>
                <w:rFonts w:ascii="Arial" w:hAnsi="Arial" w:cs="Arial"/>
              </w:rPr>
            </w:pPr>
            <w:r w:rsidRPr="0C27FA8B" w:rsidR="122BFC12">
              <w:rPr>
                <w:rFonts w:ascii="Arial" w:hAnsi="Arial" w:cs="Arial"/>
              </w:rPr>
              <w:t>17</w:t>
            </w:r>
          </w:p>
        </w:tc>
        <w:tc>
          <w:tcPr>
            <w:tcW w:w="1240" w:type="dxa"/>
            <w:tcMar/>
            <w:vAlign w:val="center"/>
          </w:tcPr>
          <w:p w:rsidRPr="000A78CA" w:rsidR="00386354" w:rsidP="0C27FA8B" w:rsidRDefault="0033546B" w14:paraId="7BC31815" w14:textId="05335ED8">
            <w:pPr>
              <w:rPr>
                <w:rFonts w:ascii="Arial" w:hAnsi="Arial" w:cs="Arial"/>
              </w:rPr>
            </w:pPr>
            <w:r w:rsidRPr="0C27FA8B" w:rsidR="122BFC12">
              <w:rPr>
                <w:rFonts w:ascii="Arial" w:hAnsi="Arial" w:cs="Arial"/>
              </w:rPr>
              <w:t>16</w:t>
            </w:r>
          </w:p>
        </w:tc>
      </w:tr>
      <w:tr w:rsidRPr="00C077F1" w:rsidR="00386354" w:rsidTr="0C27FA8B" w14:paraId="6CC58542" w14:textId="77777777">
        <w:trPr>
          <w:trHeight w:val="340"/>
        </w:trPr>
        <w:tc>
          <w:tcPr>
            <w:tcW w:w="2694" w:type="dxa"/>
            <w:tcMar/>
            <w:vAlign w:val="center"/>
          </w:tcPr>
          <w:p w:rsidRPr="00C077F1" w:rsidR="00386354" w:rsidP="00420B08" w:rsidRDefault="00386354" w14:paraId="7273C5DD" w14:textId="77777777">
            <w:pPr>
              <w:rPr>
                <w:rFonts w:ascii="Arial" w:hAnsi="Arial" w:cs="Arial"/>
              </w:rPr>
            </w:pPr>
          </w:p>
        </w:tc>
        <w:tc>
          <w:tcPr>
            <w:tcW w:w="1239" w:type="dxa"/>
            <w:tcMar/>
            <w:vAlign w:val="center"/>
          </w:tcPr>
          <w:p w:rsidRPr="000A78CA" w:rsidR="00386354" w:rsidP="00420B08" w:rsidRDefault="00386354" w14:paraId="5E7AADC3" w14:textId="77777777">
            <w:pPr>
              <w:rPr>
                <w:rFonts w:ascii="Arial" w:hAnsi="Arial" w:cs="Arial"/>
                <w:highlight w:val="yellow"/>
              </w:rPr>
            </w:pPr>
          </w:p>
        </w:tc>
        <w:tc>
          <w:tcPr>
            <w:tcW w:w="1240" w:type="dxa"/>
            <w:tcMar/>
            <w:vAlign w:val="center"/>
          </w:tcPr>
          <w:p w:rsidRPr="000A78CA" w:rsidR="00386354" w:rsidP="00420B08" w:rsidRDefault="00386354" w14:paraId="2369030F" w14:textId="77777777">
            <w:pPr>
              <w:rPr>
                <w:rFonts w:ascii="Arial" w:hAnsi="Arial" w:cs="Arial"/>
                <w:highlight w:val="yellow"/>
              </w:rPr>
            </w:pPr>
          </w:p>
        </w:tc>
        <w:tc>
          <w:tcPr>
            <w:tcW w:w="1240" w:type="dxa"/>
            <w:tcMar/>
            <w:vAlign w:val="center"/>
          </w:tcPr>
          <w:p w:rsidRPr="000A78CA" w:rsidR="00386354" w:rsidP="00420B08" w:rsidRDefault="00386354" w14:paraId="0EA71B89" w14:textId="77777777">
            <w:pPr>
              <w:rPr>
                <w:rFonts w:ascii="Arial" w:hAnsi="Arial" w:cs="Arial"/>
                <w:highlight w:val="yellow"/>
              </w:rPr>
            </w:pPr>
          </w:p>
        </w:tc>
        <w:tc>
          <w:tcPr>
            <w:tcW w:w="1240" w:type="dxa"/>
            <w:tcMar/>
            <w:vAlign w:val="center"/>
          </w:tcPr>
          <w:p w:rsidRPr="000A78CA" w:rsidR="00386354" w:rsidP="00420B08" w:rsidRDefault="00386354" w14:paraId="3BD81C61" w14:textId="77777777">
            <w:pPr>
              <w:rPr>
                <w:rFonts w:ascii="Arial" w:hAnsi="Arial" w:cs="Arial"/>
                <w:highlight w:val="yellow"/>
              </w:rPr>
            </w:pPr>
          </w:p>
        </w:tc>
      </w:tr>
      <w:tr w:rsidRPr="00C077F1" w:rsidR="00386354" w:rsidTr="0C27FA8B" w14:paraId="2316D448" w14:textId="77777777">
        <w:trPr>
          <w:trHeight w:val="340"/>
        </w:trPr>
        <w:tc>
          <w:tcPr>
            <w:tcW w:w="2694" w:type="dxa"/>
            <w:tcMar/>
            <w:vAlign w:val="center"/>
          </w:tcPr>
          <w:p w:rsidRPr="00C077F1" w:rsidR="00386354" w:rsidP="00420B08" w:rsidRDefault="00AB2AC8" w14:paraId="709634E0" w14:textId="289C6572">
            <w:pPr>
              <w:rPr>
                <w:rFonts w:ascii="Arial" w:hAnsi="Arial" w:cs="Arial"/>
              </w:rPr>
            </w:pPr>
            <w:r w:rsidRPr="00C077F1">
              <w:rPr>
                <w:rFonts w:ascii="Arial" w:hAnsi="Arial" w:cs="Arial"/>
              </w:rPr>
              <w:t xml:space="preserve">Gender </w:t>
            </w:r>
            <w:r w:rsidR="00420B08">
              <w:rPr>
                <w:rFonts w:ascii="Arial" w:hAnsi="Arial" w:cs="Arial"/>
              </w:rPr>
              <w:t>p</w:t>
            </w:r>
            <w:r w:rsidRPr="00C077F1">
              <w:rPr>
                <w:rFonts w:ascii="Arial" w:hAnsi="Arial" w:cs="Arial"/>
              </w:rPr>
              <w:t xml:space="preserve">roportions </w:t>
            </w:r>
            <w:r w:rsidR="00420B08">
              <w:rPr>
                <w:rFonts w:ascii="Arial" w:hAnsi="Arial" w:cs="Arial"/>
              </w:rPr>
              <w:t>p</w:t>
            </w:r>
            <w:r w:rsidRPr="00C077F1">
              <w:rPr>
                <w:rFonts w:ascii="Arial" w:hAnsi="Arial" w:cs="Arial"/>
              </w:rPr>
              <w:t xml:space="preserve">er </w:t>
            </w:r>
            <w:r w:rsidR="00420B08">
              <w:rPr>
                <w:rFonts w:ascii="Arial" w:hAnsi="Arial" w:cs="Arial"/>
              </w:rPr>
              <w:t>q</w:t>
            </w:r>
            <w:r w:rsidRPr="00C077F1">
              <w:rPr>
                <w:rFonts w:ascii="Arial" w:hAnsi="Arial" w:cs="Arial"/>
              </w:rPr>
              <w:t>uartile %</w:t>
            </w:r>
          </w:p>
        </w:tc>
        <w:tc>
          <w:tcPr>
            <w:tcW w:w="1239" w:type="dxa"/>
            <w:tcMar/>
            <w:vAlign w:val="center"/>
          </w:tcPr>
          <w:p w:rsidRPr="000A78CA" w:rsidR="00386354" w:rsidP="00420B08" w:rsidRDefault="00386354" w14:paraId="4D7777F9" w14:textId="77777777">
            <w:pPr>
              <w:rPr>
                <w:rFonts w:ascii="Arial" w:hAnsi="Arial" w:cs="Arial"/>
                <w:highlight w:val="yellow"/>
              </w:rPr>
            </w:pPr>
          </w:p>
        </w:tc>
        <w:tc>
          <w:tcPr>
            <w:tcW w:w="1240" w:type="dxa"/>
            <w:tcMar/>
            <w:vAlign w:val="center"/>
          </w:tcPr>
          <w:p w:rsidRPr="000A78CA" w:rsidR="00386354" w:rsidP="00420B08" w:rsidRDefault="00386354" w14:paraId="7B427C5F" w14:textId="77777777">
            <w:pPr>
              <w:rPr>
                <w:rFonts w:ascii="Arial" w:hAnsi="Arial" w:cs="Arial"/>
                <w:highlight w:val="yellow"/>
              </w:rPr>
            </w:pPr>
          </w:p>
        </w:tc>
        <w:tc>
          <w:tcPr>
            <w:tcW w:w="1240" w:type="dxa"/>
            <w:tcMar/>
            <w:vAlign w:val="center"/>
          </w:tcPr>
          <w:p w:rsidRPr="000A78CA" w:rsidR="00386354" w:rsidP="00420B08" w:rsidRDefault="00386354" w14:paraId="40AA3E73" w14:textId="77777777">
            <w:pPr>
              <w:rPr>
                <w:rFonts w:ascii="Arial" w:hAnsi="Arial" w:cs="Arial"/>
                <w:highlight w:val="yellow"/>
              </w:rPr>
            </w:pPr>
          </w:p>
        </w:tc>
        <w:tc>
          <w:tcPr>
            <w:tcW w:w="1240" w:type="dxa"/>
            <w:tcMar/>
            <w:vAlign w:val="center"/>
          </w:tcPr>
          <w:p w:rsidRPr="000A78CA" w:rsidR="00386354" w:rsidP="00420B08" w:rsidRDefault="00386354" w14:paraId="5E2A9805" w14:textId="77777777">
            <w:pPr>
              <w:rPr>
                <w:rFonts w:ascii="Arial" w:hAnsi="Arial" w:cs="Arial"/>
                <w:highlight w:val="yellow"/>
              </w:rPr>
            </w:pPr>
          </w:p>
        </w:tc>
      </w:tr>
      <w:tr w:rsidRPr="00C077F1" w:rsidR="00386354" w:rsidTr="0C27FA8B" w14:paraId="438A06CD" w14:textId="77777777">
        <w:trPr>
          <w:trHeight w:val="340"/>
        </w:trPr>
        <w:tc>
          <w:tcPr>
            <w:tcW w:w="2694" w:type="dxa"/>
            <w:tcMar/>
            <w:vAlign w:val="center"/>
          </w:tcPr>
          <w:p w:rsidRPr="001E416A" w:rsidR="00386354" w:rsidP="00420B08" w:rsidRDefault="00AB2AC8" w14:paraId="3DDA872D" w14:textId="7AD51121">
            <w:pPr>
              <w:rPr>
                <w:rFonts w:ascii="Arial" w:hAnsi="Arial" w:cs="Arial"/>
              </w:rPr>
            </w:pPr>
            <w:r w:rsidRPr="001E416A">
              <w:rPr>
                <w:rFonts w:ascii="Arial" w:hAnsi="Arial" w:cs="Arial"/>
              </w:rPr>
              <w:t>F (</w:t>
            </w:r>
            <w:r w:rsidRPr="001E416A" w:rsidR="008E63AE">
              <w:rPr>
                <w:rFonts w:ascii="Arial" w:hAnsi="Arial" w:cs="Arial"/>
              </w:rPr>
              <w:t xml:space="preserve">overall </w:t>
            </w:r>
            <w:r w:rsidRPr="001E416A" w:rsidR="005C3587">
              <w:rPr>
                <w:rFonts w:ascii="Arial" w:hAnsi="Arial" w:cs="Arial"/>
              </w:rPr>
              <w:t>91</w:t>
            </w:r>
            <w:r w:rsidRPr="001E416A" w:rsidR="008E63AE">
              <w:rPr>
                <w:rFonts w:ascii="Arial" w:hAnsi="Arial" w:cs="Arial"/>
              </w:rPr>
              <w:t>%)</w:t>
            </w:r>
          </w:p>
        </w:tc>
        <w:tc>
          <w:tcPr>
            <w:tcW w:w="1239" w:type="dxa"/>
            <w:tcMar/>
            <w:vAlign w:val="center"/>
          </w:tcPr>
          <w:p w:rsidRPr="000A78CA" w:rsidR="00386354" w:rsidP="0C27FA8B" w:rsidRDefault="005C3587" w14:paraId="0380ABF5" w14:textId="23932E05">
            <w:pPr>
              <w:rPr>
                <w:rFonts w:ascii="Arial" w:hAnsi="Arial" w:cs="Arial"/>
              </w:rPr>
            </w:pPr>
            <w:r w:rsidRPr="0C27FA8B" w:rsidR="005C3587">
              <w:rPr>
                <w:rFonts w:ascii="Arial" w:hAnsi="Arial" w:cs="Arial"/>
              </w:rPr>
              <w:t>96%</w:t>
            </w:r>
          </w:p>
        </w:tc>
        <w:tc>
          <w:tcPr>
            <w:tcW w:w="1240" w:type="dxa"/>
            <w:tcMar/>
            <w:vAlign w:val="center"/>
          </w:tcPr>
          <w:p w:rsidRPr="000A78CA" w:rsidR="00386354" w:rsidP="0C27FA8B" w:rsidRDefault="005C3587" w14:paraId="7A518AFA" w14:textId="73EF796E">
            <w:pPr>
              <w:rPr>
                <w:rFonts w:ascii="Arial" w:hAnsi="Arial" w:cs="Arial"/>
              </w:rPr>
            </w:pPr>
            <w:r w:rsidRPr="0C27FA8B" w:rsidR="005C3587">
              <w:rPr>
                <w:rFonts w:ascii="Arial" w:hAnsi="Arial" w:cs="Arial"/>
              </w:rPr>
              <w:t>9</w:t>
            </w:r>
            <w:r w:rsidRPr="0C27FA8B" w:rsidR="2603F43C">
              <w:rPr>
                <w:rFonts w:ascii="Arial" w:hAnsi="Arial" w:cs="Arial"/>
              </w:rPr>
              <w:t>3</w:t>
            </w:r>
            <w:r w:rsidRPr="0C27FA8B" w:rsidR="005C3587">
              <w:rPr>
                <w:rFonts w:ascii="Arial" w:hAnsi="Arial" w:cs="Arial"/>
              </w:rPr>
              <w:t>%</w:t>
            </w:r>
          </w:p>
        </w:tc>
        <w:tc>
          <w:tcPr>
            <w:tcW w:w="1240" w:type="dxa"/>
            <w:tcMar/>
            <w:vAlign w:val="center"/>
          </w:tcPr>
          <w:p w:rsidRPr="000A78CA" w:rsidR="00386354" w:rsidP="0C27FA8B" w:rsidRDefault="005C3587" w14:paraId="254D82C5" w14:textId="6DDB021E">
            <w:pPr>
              <w:rPr>
                <w:rFonts w:ascii="Arial" w:hAnsi="Arial" w:cs="Arial"/>
              </w:rPr>
            </w:pPr>
            <w:r w:rsidRPr="0C27FA8B" w:rsidR="005C3587">
              <w:rPr>
                <w:rFonts w:ascii="Arial" w:hAnsi="Arial" w:cs="Arial"/>
              </w:rPr>
              <w:t>8</w:t>
            </w:r>
            <w:r w:rsidRPr="0C27FA8B" w:rsidR="296E67E4">
              <w:rPr>
                <w:rFonts w:ascii="Arial" w:hAnsi="Arial" w:cs="Arial"/>
              </w:rPr>
              <w:t>3</w:t>
            </w:r>
            <w:r w:rsidRPr="0C27FA8B" w:rsidR="005C3587">
              <w:rPr>
                <w:rFonts w:ascii="Arial" w:hAnsi="Arial" w:cs="Arial"/>
              </w:rPr>
              <w:t>%</w:t>
            </w:r>
          </w:p>
        </w:tc>
        <w:tc>
          <w:tcPr>
            <w:tcW w:w="1240" w:type="dxa"/>
            <w:tcMar/>
            <w:vAlign w:val="center"/>
          </w:tcPr>
          <w:p w:rsidRPr="000A78CA" w:rsidR="00386354" w:rsidP="0C27FA8B" w:rsidRDefault="005C3587" w14:paraId="299E936A" w14:textId="796E6565">
            <w:pPr>
              <w:rPr>
                <w:rFonts w:ascii="Arial" w:hAnsi="Arial" w:cs="Arial"/>
              </w:rPr>
            </w:pPr>
            <w:r w:rsidRPr="0C27FA8B" w:rsidR="005C3587">
              <w:rPr>
                <w:rFonts w:ascii="Arial" w:hAnsi="Arial" w:cs="Arial"/>
              </w:rPr>
              <w:t>8</w:t>
            </w:r>
            <w:r w:rsidRPr="0C27FA8B" w:rsidR="41DBCE9F">
              <w:rPr>
                <w:rFonts w:ascii="Arial" w:hAnsi="Arial" w:cs="Arial"/>
              </w:rPr>
              <w:t>4</w:t>
            </w:r>
            <w:r w:rsidRPr="0C27FA8B" w:rsidR="005C3587">
              <w:rPr>
                <w:rFonts w:ascii="Arial" w:hAnsi="Arial" w:cs="Arial"/>
              </w:rPr>
              <w:t>%</w:t>
            </w:r>
          </w:p>
        </w:tc>
      </w:tr>
      <w:tr w:rsidRPr="00C077F1" w:rsidR="00386354" w:rsidTr="0C27FA8B" w14:paraId="1C6990D5" w14:textId="77777777">
        <w:trPr>
          <w:trHeight w:val="340"/>
        </w:trPr>
        <w:tc>
          <w:tcPr>
            <w:tcW w:w="2694" w:type="dxa"/>
            <w:tcMar/>
            <w:vAlign w:val="center"/>
          </w:tcPr>
          <w:p w:rsidRPr="001E416A" w:rsidR="00386354" w:rsidP="00420B08" w:rsidRDefault="008E63AE" w14:paraId="2133B047" w14:textId="5AFF252F">
            <w:pPr>
              <w:rPr>
                <w:rFonts w:ascii="Arial" w:hAnsi="Arial" w:cs="Arial"/>
              </w:rPr>
            </w:pPr>
            <w:r w:rsidRPr="001E416A">
              <w:rPr>
                <w:rFonts w:ascii="Arial" w:hAnsi="Arial" w:cs="Arial"/>
              </w:rPr>
              <w:t>M (</w:t>
            </w:r>
            <w:r w:rsidRPr="001E416A" w:rsidR="00EE2ACF">
              <w:rPr>
                <w:rFonts w:ascii="Arial" w:hAnsi="Arial" w:cs="Arial"/>
              </w:rPr>
              <w:t xml:space="preserve">overall </w:t>
            </w:r>
            <w:r w:rsidRPr="001E416A" w:rsidR="005C3587">
              <w:rPr>
                <w:rFonts w:ascii="Arial" w:hAnsi="Arial" w:cs="Arial"/>
              </w:rPr>
              <w:t>9</w:t>
            </w:r>
            <w:r w:rsidRPr="001E416A" w:rsidR="00EE2ACF">
              <w:rPr>
                <w:rFonts w:ascii="Arial" w:hAnsi="Arial" w:cs="Arial"/>
              </w:rPr>
              <w:t>%)</w:t>
            </w:r>
          </w:p>
        </w:tc>
        <w:tc>
          <w:tcPr>
            <w:tcW w:w="1239" w:type="dxa"/>
            <w:tcMar/>
            <w:vAlign w:val="center"/>
          </w:tcPr>
          <w:p w:rsidRPr="000A78CA" w:rsidR="00386354" w:rsidP="0C27FA8B" w:rsidRDefault="005C3587" w14:paraId="56FE6A69" w14:textId="59947CC4">
            <w:pPr>
              <w:rPr>
                <w:rFonts w:ascii="Arial" w:hAnsi="Arial" w:cs="Arial"/>
              </w:rPr>
            </w:pPr>
            <w:r w:rsidRPr="0C27FA8B" w:rsidR="005C3587">
              <w:rPr>
                <w:rFonts w:ascii="Arial" w:hAnsi="Arial" w:cs="Arial"/>
              </w:rPr>
              <w:t>4%</w:t>
            </w:r>
          </w:p>
        </w:tc>
        <w:tc>
          <w:tcPr>
            <w:tcW w:w="1240" w:type="dxa"/>
            <w:tcMar/>
            <w:vAlign w:val="center"/>
          </w:tcPr>
          <w:p w:rsidRPr="000A78CA" w:rsidR="00386354" w:rsidP="0C27FA8B" w:rsidRDefault="005C3587" w14:paraId="79451715" w14:textId="1384C6EC">
            <w:pPr>
              <w:rPr>
                <w:rFonts w:ascii="Arial" w:hAnsi="Arial" w:cs="Arial"/>
              </w:rPr>
            </w:pPr>
            <w:r w:rsidRPr="0C27FA8B" w:rsidR="570371F4">
              <w:rPr>
                <w:rFonts w:ascii="Arial" w:hAnsi="Arial" w:cs="Arial"/>
              </w:rPr>
              <w:t>7</w:t>
            </w:r>
            <w:r w:rsidRPr="0C27FA8B" w:rsidR="005C3587">
              <w:rPr>
                <w:rFonts w:ascii="Arial" w:hAnsi="Arial" w:cs="Arial"/>
              </w:rPr>
              <w:t>%</w:t>
            </w:r>
          </w:p>
        </w:tc>
        <w:tc>
          <w:tcPr>
            <w:tcW w:w="1240" w:type="dxa"/>
            <w:tcMar/>
            <w:vAlign w:val="center"/>
          </w:tcPr>
          <w:p w:rsidRPr="000A78CA" w:rsidR="00386354" w:rsidP="0C27FA8B" w:rsidRDefault="005C3587" w14:paraId="6A9371C5" w14:textId="4A63FAB5">
            <w:pPr>
              <w:rPr>
                <w:rFonts w:ascii="Arial" w:hAnsi="Arial" w:cs="Arial"/>
              </w:rPr>
            </w:pPr>
            <w:r w:rsidRPr="0C27FA8B" w:rsidR="005C3587">
              <w:rPr>
                <w:rFonts w:ascii="Arial" w:hAnsi="Arial" w:cs="Arial"/>
              </w:rPr>
              <w:t>1</w:t>
            </w:r>
            <w:r w:rsidRPr="0C27FA8B" w:rsidR="5B0A401D">
              <w:rPr>
                <w:rFonts w:ascii="Arial" w:hAnsi="Arial" w:cs="Arial"/>
              </w:rPr>
              <w:t>7</w:t>
            </w:r>
            <w:r w:rsidRPr="0C27FA8B" w:rsidR="005C3587">
              <w:rPr>
                <w:rFonts w:ascii="Arial" w:hAnsi="Arial" w:cs="Arial"/>
              </w:rPr>
              <w:t>%</w:t>
            </w:r>
          </w:p>
        </w:tc>
        <w:tc>
          <w:tcPr>
            <w:tcW w:w="1240" w:type="dxa"/>
            <w:tcMar/>
            <w:vAlign w:val="center"/>
          </w:tcPr>
          <w:p w:rsidRPr="000A78CA" w:rsidR="00386354" w:rsidP="0C27FA8B" w:rsidRDefault="005C3587" w14:paraId="35807732" w14:textId="42CAE0AB">
            <w:pPr>
              <w:rPr>
                <w:rFonts w:ascii="Arial" w:hAnsi="Arial" w:cs="Arial"/>
              </w:rPr>
            </w:pPr>
            <w:r w:rsidRPr="0C27FA8B" w:rsidR="005C3587">
              <w:rPr>
                <w:rFonts w:ascii="Arial" w:hAnsi="Arial" w:cs="Arial"/>
              </w:rPr>
              <w:t>1</w:t>
            </w:r>
            <w:r w:rsidRPr="0C27FA8B" w:rsidR="5A6FCEB7">
              <w:rPr>
                <w:rFonts w:ascii="Arial" w:hAnsi="Arial" w:cs="Arial"/>
              </w:rPr>
              <w:t>6</w:t>
            </w:r>
            <w:r w:rsidRPr="0C27FA8B" w:rsidR="005C3587">
              <w:rPr>
                <w:rFonts w:ascii="Arial" w:hAnsi="Arial" w:cs="Arial"/>
              </w:rPr>
              <w:t>%</w:t>
            </w:r>
          </w:p>
        </w:tc>
      </w:tr>
    </w:tbl>
    <w:p w:rsidRPr="00BF4BF3" w:rsidR="00BF4BF3" w:rsidP="00BF4BF3" w:rsidRDefault="00BF4BF3" w14:paraId="6665024C" w14:textId="77777777">
      <w:pPr>
        <w:spacing w:after="0"/>
        <w:rPr>
          <w:rFonts w:ascii="Arial" w:hAnsi="Arial" w:cs="Arial"/>
          <w:i/>
          <w:iCs/>
          <w:sz w:val="16"/>
          <w:szCs w:val="16"/>
        </w:rPr>
      </w:pPr>
    </w:p>
    <w:p w:rsidRPr="002A18AC" w:rsidR="00B70AEC" w:rsidP="00BF4BF3" w:rsidRDefault="00B70AEC" w14:paraId="36AC501D" w14:textId="21982F8D">
      <w:pPr>
        <w:ind w:left="720"/>
        <w:rPr>
          <w:rFonts w:ascii="Arial" w:hAnsi="Arial" w:cs="Arial"/>
          <w:i/>
          <w:iCs/>
          <w:sz w:val="20"/>
          <w:szCs w:val="20"/>
        </w:rPr>
      </w:pPr>
      <w:r w:rsidRPr="002A18AC">
        <w:rPr>
          <w:rFonts w:ascii="Arial" w:hAnsi="Arial" w:cs="Arial"/>
          <w:i/>
          <w:iCs/>
          <w:sz w:val="20"/>
          <w:szCs w:val="20"/>
        </w:rPr>
        <w:t>Key:</w:t>
      </w:r>
    </w:p>
    <w:p w:rsidRPr="00B70AEC" w:rsidR="00B70AEC" w:rsidP="00BF4BF3" w:rsidRDefault="00505C58" w14:paraId="66313B1E" w14:textId="456222AB">
      <w:pPr>
        <w:ind w:left="720"/>
        <w:rPr>
          <w:rFonts w:ascii="Arial" w:hAnsi="Arial" w:cs="Arial"/>
          <w:i/>
          <w:iCs/>
          <w:sz w:val="20"/>
          <w:szCs w:val="20"/>
        </w:rPr>
      </w:pPr>
      <w:r w:rsidRPr="002A18AC">
        <w:rPr>
          <w:rFonts w:ascii="Arial" w:hAnsi="Arial" w:cs="Arial"/>
          <w:i/>
          <w:iCs/>
          <w:sz w:val="20"/>
          <w:szCs w:val="20"/>
        </w:rPr>
        <w:t>1 =</w:t>
      </w:r>
      <w:r w:rsidRPr="00B70AEC" w:rsidR="00B70AEC">
        <w:rPr>
          <w:rFonts w:ascii="Arial" w:hAnsi="Arial" w:cs="Arial"/>
          <w:i/>
          <w:iCs/>
          <w:sz w:val="20"/>
          <w:szCs w:val="20"/>
        </w:rPr>
        <w:t xml:space="preserve"> </w:t>
      </w:r>
      <w:r w:rsidRPr="00B70AEC" w:rsidR="00B70AEC">
        <w:rPr>
          <w:rFonts w:ascii="Arial" w:hAnsi="Arial" w:cs="Arial"/>
          <w:b/>
          <w:bCs/>
          <w:i/>
          <w:iCs/>
          <w:sz w:val="20"/>
          <w:szCs w:val="20"/>
        </w:rPr>
        <w:t>Lower Quartile (Bottom 25%)</w:t>
      </w:r>
      <w:r w:rsidRPr="00B70AEC" w:rsidR="00B70AEC">
        <w:rPr>
          <w:rFonts w:ascii="Arial" w:hAnsi="Arial" w:cs="Arial"/>
          <w:i/>
          <w:iCs/>
          <w:sz w:val="20"/>
          <w:szCs w:val="20"/>
        </w:rPr>
        <w:t xml:space="preserve"> – The lowest-paid 25% of employees, often including roles such as teaching assistants, administrative staff, and support staff.</w:t>
      </w:r>
    </w:p>
    <w:p w:rsidRPr="00B70AEC" w:rsidR="00B70AEC" w:rsidP="00BF4BF3" w:rsidRDefault="00505C58" w14:paraId="09B5E975" w14:textId="64AC4E6E">
      <w:pPr>
        <w:ind w:left="720"/>
        <w:rPr>
          <w:rFonts w:ascii="Arial" w:hAnsi="Arial" w:cs="Arial"/>
          <w:i/>
          <w:iCs/>
          <w:sz w:val="20"/>
          <w:szCs w:val="20"/>
        </w:rPr>
      </w:pPr>
      <w:r w:rsidRPr="002A18AC">
        <w:rPr>
          <w:rFonts w:ascii="Arial" w:hAnsi="Arial" w:cs="Arial"/>
          <w:i/>
          <w:iCs/>
          <w:sz w:val="20"/>
          <w:szCs w:val="20"/>
        </w:rPr>
        <w:t>2 =</w:t>
      </w:r>
      <w:r w:rsidRPr="00B70AEC" w:rsidR="00B70AEC">
        <w:rPr>
          <w:rFonts w:ascii="Arial" w:hAnsi="Arial" w:cs="Arial"/>
          <w:i/>
          <w:iCs/>
          <w:sz w:val="20"/>
          <w:szCs w:val="20"/>
        </w:rPr>
        <w:t xml:space="preserve"> </w:t>
      </w:r>
      <w:r w:rsidRPr="00B70AEC" w:rsidR="00B70AEC">
        <w:rPr>
          <w:rFonts w:ascii="Arial" w:hAnsi="Arial" w:cs="Arial"/>
          <w:b/>
          <w:bCs/>
          <w:i/>
          <w:iCs/>
          <w:sz w:val="20"/>
          <w:szCs w:val="20"/>
        </w:rPr>
        <w:t>Lower Middle Quartile (25%-50%)</w:t>
      </w:r>
      <w:r w:rsidRPr="00B70AEC" w:rsidR="00B70AEC">
        <w:rPr>
          <w:rFonts w:ascii="Arial" w:hAnsi="Arial" w:cs="Arial"/>
          <w:i/>
          <w:iCs/>
          <w:sz w:val="20"/>
          <w:szCs w:val="20"/>
        </w:rPr>
        <w:t xml:space="preserve"> – This group may include higher-paid support staff, newly qualified teachers (NQTs), and early-career teachers.</w:t>
      </w:r>
    </w:p>
    <w:p w:rsidRPr="00B70AEC" w:rsidR="00B70AEC" w:rsidP="00BF4BF3" w:rsidRDefault="00505C58" w14:paraId="22C9F523" w14:textId="60D8E172">
      <w:pPr>
        <w:ind w:left="720"/>
        <w:rPr>
          <w:rFonts w:ascii="Arial" w:hAnsi="Arial" w:cs="Arial"/>
          <w:i/>
          <w:iCs/>
          <w:sz w:val="20"/>
          <w:szCs w:val="20"/>
        </w:rPr>
      </w:pPr>
      <w:r w:rsidRPr="002A18AC">
        <w:rPr>
          <w:rFonts w:ascii="Arial" w:hAnsi="Arial" w:cs="Arial"/>
          <w:i/>
          <w:iCs/>
          <w:sz w:val="20"/>
          <w:szCs w:val="20"/>
        </w:rPr>
        <w:t xml:space="preserve">3 = </w:t>
      </w:r>
      <w:r w:rsidRPr="00B70AEC" w:rsidR="00B70AEC">
        <w:rPr>
          <w:rFonts w:ascii="Arial" w:hAnsi="Arial" w:cs="Arial"/>
          <w:b/>
          <w:bCs/>
          <w:i/>
          <w:iCs/>
          <w:sz w:val="20"/>
          <w:szCs w:val="20"/>
        </w:rPr>
        <w:t>Upper Middle Quartile (50%-75%)</w:t>
      </w:r>
      <w:r w:rsidRPr="00B70AEC" w:rsidR="00B70AEC">
        <w:rPr>
          <w:rFonts w:ascii="Arial" w:hAnsi="Arial" w:cs="Arial"/>
          <w:i/>
          <w:iCs/>
          <w:sz w:val="20"/>
          <w:szCs w:val="20"/>
        </w:rPr>
        <w:t xml:space="preserve"> – This band typically consists of experienced teachers, middle leaders, and some senior support staff.</w:t>
      </w:r>
    </w:p>
    <w:p w:rsidR="00B70AEC" w:rsidP="00BF4BF3" w:rsidRDefault="00505C58" w14:paraId="14750B20" w14:textId="108D0790">
      <w:pPr>
        <w:ind w:left="720"/>
        <w:rPr>
          <w:rFonts w:ascii="Arial" w:hAnsi="Arial" w:cs="Arial"/>
          <w:i/>
          <w:iCs/>
          <w:sz w:val="20"/>
          <w:szCs w:val="20"/>
        </w:rPr>
      </w:pPr>
      <w:r w:rsidRPr="002A18AC">
        <w:rPr>
          <w:rFonts w:ascii="Arial" w:hAnsi="Arial" w:cs="Arial"/>
          <w:i/>
          <w:iCs/>
          <w:sz w:val="20"/>
          <w:szCs w:val="20"/>
        </w:rPr>
        <w:t xml:space="preserve">4 = </w:t>
      </w:r>
      <w:r w:rsidRPr="002A18AC" w:rsidR="00B70AEC">
        <w:rPr>
          <w:rFonts w:ascii="Arial" w:hAnsi="Arial" w:cs="Arial"/>
          <w:b/>
          <w:bCs/>
          <w:i/>
          <w:iCs/>
          <w:sz w:val="20"/>
          <w:szCs w:val="20"/>
        </w:rPr>
        <w:t>Upper Quartile (Top 25%)</w:t>
      </w:r>
      <w:r w:rsidRPr="002A18AC" w:rsidR="00B70AEC">
        <w:rPr>
          <w:rFonts w:ascii="Arial" w:hAnsi="Arial" w:cs="Arial"/>
          <w:i/>
          <w:iCs/>
          <w:sz w:val="20"/>
          <w:szCs w:val="20"/>
        </w:rPr>
        <w:t xml:space="preserve"> – The highest earners, including senior leadership teams (SLT), headteachers, executive leaders, and specialist roles.</w:t>
      </w:r>
    </w:p>
    <w:p w:rsidRPr="00E56379" w:rsidR="00EE2ACF" w:rsidP="3C2EEABD" w:rsidRDefault="004A49D9" w14:paraId="54CD425F" w14:textId="0810704F">
      <w:pPr>
        <w:pStyle w:val="Heading2"/>
        <w:numPr>
          <w:ilvl w:val="0"/>
          <w:numId w:val="0"/>
        </w:numPr>
        <w:rPr>
          <w:color w:val="B823B8"/>
        </w:rPr>
      </w:pPr>
      <w:r w:rsidRPr="3C2EEABD">
        <w:rPr>
          <w:color w:val="B823B8"/>
        </w:rPr>
        <w:t>Understanding Our Gender Pay Gap</w:t>
      </w:r>
    </w:p>
    <w:p w:rsidR="567D11C1" w:rsidP="3C2EEABD" w:rsidRDefault="567D11C1" w14:paraId="4EC78F2A" w14:textId="78F01B92">
      <w:pPr>
        <w:spacing w:before="240" w:after="240"/>
      </w:pPr>
      <w:r w:rsidRPr="3C2EEABD">
        <w:rPr>
          <w:rFonts w:ascii="Arial" w:hAnsi="Arial" w:eastAsia="Arial" w:cs="Arial"/>
        </w:rPr>
        <w:t>The Trust acknowledges the existence of a gender pay gap; however, we are confident that this is not due to men and women being paid differently for the same or equivalent work. Our analysis indicates that the gap arises from the distribution of roles within our organisation and the salaries associated with those positions.</w:t>
      </w:r>
    </w:p>
    <w:p w:rsidR="567D11C1" w:rsidP="3C2EEABD" w:rsidRDefault="567D11C1" w14:paraId="31DF8EA5" w14:textId="2EB9AEF7">
      <w:pPr>
        <w:spacing w:before="240" w:after="240"/>
        <w:rPr>
          <w:rFonts w:ascii="Arial" w:hAnsi="Arial" w:eastAsia="Arial" w:cs="Arial"/>
        </w:rPr>
      </w:pPr>
      <w:r w:rsidRPr="0C27FA8B" w:rsidR="567D11C1">
        <w:rPr>
          <w:rFonts w:ascii="Arial" w:hAnsi="Arial" w:eastAsia="Arial" w:cs="Arial"/>
        </w:rPr>
        <w:t xml:space="preserve">To provide further context, our workforce is </w:t>
      </w:r>
      <w:r w:rsidRPr="0C27FA8B" w:rsidR="567D11C1">
        <w:rPr>
          <w:rFonts w:ascii="Arial" w:hAnsi="Arial" w:eastAsia="Arial" w:cs="Arial"/>
        </w:rPr>
        <w:t>predominantly female</w:t>
      </w:r>
      <w:r w:rsidRPr="0C27FA8B" w:rsidR="567D11C1">
        <w:rPr>
          <w:rFonts w:ascii="Arial" w:hAnsi="Arial" w:eastAsia="Arial" w:cs="Arial"/>
        </w:rPr>
        <w:t>—a common trend in the education sector. Th</w:t>
      </w:r>
      <w:r w:rsidRPr="0C27FA8B" w:rsidR="2212B743">
        <w:rPr>
          <w:rFonts w:ascii="Arial" w:hAnsi="Arial" w:eastAsia="Arial" w:cs="Arial"/>
        </w:rPr>
        <w:t xml:space="preserve">ere are </w:t>
      </w:r>
      <w:r w:rsidRPr="0C27FA8B" w:rsidR="2212B743">
        <w:rPr>
          <w:rFonts w:ascii="Arial" w:hAnsi="Arial" w:eastAsia="Arial" w:cs="Arial"/>
        </w:rPr>
        <w:t>3</w:t>
      </w:r>
      <w:r w:rsidRPr="0C27FA8B" w:rsidR="00BD1C37">
        <w:rPr>
          <w:rFonts w:ascii="Arial" w:hAnsi="Arial" w:eastAsia="Arial" w:cs="Arial"/>
        </w:rPr>
        <w:t xml:space="preserve">59 </w:t>
      </w:r>
      <w:r w:rsidRPr="0C27FA8B" w:rsidR="2212B743">
        <w:rPr>
          <w:rFonts w:ascii="Arial" w:hAnsi="Arial" w:eastAsia="Arial" w:cs="Arial"/>
        </w:rPr>
        <w:t xml:space="preserve">females employed compared to only </w:t>
      </w:r>
      <w:r w:rsidRPr="0C27FA8B" w:rsidR="25B19C47">
        <w:rPr>
          <w:rFonts w:ascii="Arial" w:hAnsi="Arial" w:eastAsia="Arial" w:cs="Arial"/>
        </w:rPr>
        <w:t>44</w:t>
      </w:r>
      <w:r w:rsidRPr="0C27FA8B" w:rsidR="2212B743">
        <w:rPr>
          <w:rFonts w:ascii="Arial" w:hAnsi="Arial" w:eastAsia="Arial" w:cs="Arial"/>
        </w:rPr>
        <w:t xml:space="preserve"> </w:t>
      </w:r>
      <w:r w:rsidRPr="0C27FA8B" w:rsidR="2212B743">
        <w:rPr>
          <w:rFonts w:ascii="Arial" w:hAnsi="Arial" w:eastAsia="Arial" w:cs="Arial"/>
        </w:rPr>
        <w:t>males which disproportionate</w:t>
      </w:r>
      <w:r w:rsidRPr="0C27FA8B" w:rsidR="2212B743">
        <w:rPr>
          <w:rFonts w:ascii="Arial" w:hAnsi="Arial" w:eastAsia="Arial" w:cs="Arial"/>
        </w:rPr>
        <w:t>ly affects the over</w:t>
      </w:r>
      <w:r w:rsidRPr="0C27FA8B" w:rsidR="0199F40D">
        <w:rPr>
          <w:rFonts w:ascii="Arial" w:hAnsi="Arial" w:eastAsia="Arial" w:cs="Arial"/>
        </w:rPr>
        <w:t>all percentage values per quartile.</w:t>
      </w:r>
      <w:r w:rsidRPr="0C27FA8B" w:rsidR="76230EB4">
        <w:rPr>
          <w:rFonts w:ascii="Arial" w:hAnsi="Arial" w:eastAsia="Arial" w:cs="Arial"/>
        </w:rPr>
        <w:t xml:space="preserve"> Of the </w:t>
      </w:r>
      <w:r w:rsidRPr="0C27FA8B" w:rsidR="76230EB4">
        <w:rPr>
          <w:rFonts w:ascii="Arial" w:hAnsi="Arial" w:eastAsia="Arial" w:cs="Arial"/>
        </w:rPr>
        <w:t>3</w:t>
      </w:r>
      <w:r w:rsidRPr="0C27FA8B" w:rsidR="5F9779B8">
        <w:rPr>
          <w:rFonts w:ascii="Arial" w:hAnsi="Arial" w:eastAsia="Arial" w:cs="Arial"/>
        </w:rPr>
        <w:t>59</w:t>
      </w:r>
      <w:r w:rsidRPr="0C27FA8B" w:rsidR="76230EB4">
        <w:rPr>
          <w:rFonts w:ascii="Arial" w:hAnsi="Arial" w:eastAsia="Arial" w:cs="Arial"/>
        </w:rPr>
        <w:t xml:space="preserve"> female employees </w:t>
      </w:r>
      <w:r w:rsidRPr="0C27FA8B" w:rsidR="2E64DF02">
        <w:rPr>
          <w:rFonts w:ascii="Arial" w:hAnsi="Arial" w:eastAsia="Arial" w:cs="Arial"/>
        </w:rPr>
        <w:t>52.9</w:t>
      </w:r>
      <w:r w:rsidRPr="0C27FA8B" w:rsidR="76230EB4">
        <w:rPr>
          <w:rFonts w:ascii="Arial" w:hAnsi="Arial" w:eastAsia="Arial" w:cs="Arial"/>
        </w:rPr>
        <w:t>%</w:t>
      </w:r>
      <w:r w:rsidRPr="0C27FA8B" w:rsidR="76230EB4">
        <w:rPr>
          <w:rFonts w:ascii="Arial" w:hAnsi="Arial" w:eastAsia="Arial" w:cs="Arial"/>
        </w:rPr>
        <w:t xml:space="preserve"> appear within </w:t>
      </w:r>
      <w:r w:rsidRPr="0C27FA8B" w:rsidR="09C7F487">
        <w:rPr>
          <w:rFonts w:ascii="Arial" w:hAnsi="Arial" w:eastAsia="Arial" w:cs="Arial"/>
        </w:rPr>
        <w:t xml:space="preserve">either </w:t>
      </w:r>
      <w:r w:rsidRPr="0C27FA8B" w:rsidR="76230EB4">
        <w:rPr>
          <w:rFonts w:ascii="Arial" w:hAnsi="Arial" w:eastAsia="Arial" w:cs="Arial"/>
        </w:rPr>
        <w:t xml:space="preserve">the </w:t>
      </w:r>
      <w:r w:rsidRPr="0C27FA8B" w:rsidR="005E0208">
        <w:rPr>
          <w:rFonts w:ascii="Arial" w:hAnsi="Arial" w:eastAsia="Arial" w:cs="Arial"/>
        </w:rPr>
        <w:t>lower</w:t>
      </w:r>
      <w:r w:rsidRPr="0C27FA8B" w:rsidR="04C46657">
        <w:rPr>
          <w:rFonts w:ascii="Arial" w:hAnsi="Arial" w:eastAsia="Arial" w:cs="Arial"/>
        </w:rPr>
        <w:t xml:space="preserve"> or middle lower quartile, fulfilling vital roles such as midday supervisors or part of the premises teams. This is compared to </w:t>
      </w:r>
      <w:r w:rsidRPr="0C27FA8B" w:rsidR="72D1080E">
        <w:rPr>
          <w:rFonts w:ascii="Arial" w:hAnsi="Arial" w:eastAsia="Arial" w:cs="Arial"/>
        </w:rPr>
        <w:t>25</w:t>
      </w:r>
      <w:r w:rsidRPr="0C27FA8B" w:rsidR="3D3DC617">
        <w:rPr>
          <w:rFonts w:ascii="Arial" w:hAnsi="Arial" w:eastAsia="Arial" w:cs="Arial"/>
        </w:rPr>
        <w:t>%</w:t>
      </w:r>
      <w:r w:rsidRPr="0C27FA8B" w:rsidR="3D3DC617">
        <w:rPr>
          <w:rFonts w:ascii="Arial" w:hAnsi="Arial" w:eastAsia="Arial" w:cs="Arial"/>
        </w:rPr>
        <w:t xml:space="preserve"> </w:t>
      </w:r>
      <w:r w:rsidRPr="0C27FA8B" w:rsidR="3D3DC617">
        <w:rPr>
          <w:rFonts w:ascii="Arial" w:hAnsi="Arial" w:eastAsia="Arial" w:cs="Arial"/>
        </w:rPr>
        <w:t xml:space="preserve">of male employees within these two quartiles. </w:t>
      </w:r>
      <w:r w:rsidRPr="0C27FA8B" w:rsidR="567D11C1">
        <w:rPr>
          <w:rFonts w:ascii="Arial" w:hAnsi="Arial" w:eastAsia="Arial" w:cs="Arial"/>
        </w:rPr>
        <w:t xml:space="preserve">As a result, </w:t>
      </w:r>
      <w:r w:rsidRPr="0C27FA8B" w:rsidR="567D11C1">
        <w:rPr>
          <w:rFonts w:ascii="Arial" w:hAnsi="Arial" w:eastAsia="Arial" w:cs="Arial"/>
        </w:rPr>
        <w:t>t</w:t>
      </w:r>
      <w:r w:rsidRPr="0C27FA8B" w:rsidR="567D11C1">
        <w:rPr>
          <w:rFonts w:ascii="Arial" w:hAnsi="Arial" w:eastAsia="Arial" w:cs="Arial"/>
        </w:rPr>
        <w:t>h</w:t>
      </w:r>
      <w:r w:rsidRPr="0C27FA8B" w:rsidR="567D11C1">
        <w:rPr>
          <w:rFonts w:ascii="Arial" w:hAnsi="Arial" w:eastAsia="Arial" w:cs="Arial"/>
        </w:rPr>
        <w:t>e majority of</w:t>
      </w:r>
      <w:r w:rsidRPr="0C27FA8B" w:rsidR="567D11C1">
        <w:rPr>
          <w:rFonts w:ascii="Arial" w:hAnsi="Arial" w:eastAsia="Arial" w:cs="Arial"/>
        </w:rPr>
        <w:t xml:space="preserve"> </w:t>
      </w:r>
      <w:r w:rsidRPr="0C27FA8B" w:rsidR="567D11C1">
        <w:rPr>
          <w:rFonts w:ascii="Arial" w:hAnsi="Arial" w:eastAsia="Arial" w:cs="Arial"/>
        </w:rPr>
        <w:t>s</w:t>
      </w:r>
      <w:r w:rsidRPr="0C27FA8B" w:rsidR="567D11C1">
        <w:rPr>
          <w:rFonts w:ascii="Arial" w:hAnsi="Arial" w:eastAsia="Arial" w:cs="Arial"/>
        </w:rPr>
        <w:t xml:space="preserve">taff in both the lower and upper pay quartiles are women. While some contributing factors are </w:t>
      </w:r>
      <w:r w:rsidRPr="0C27FA8B" w:rsidR="567D11C1">
        <w:rPr>
          <w:rFonts w:ascii="Arial" w:hAnsi="Arial" w:eastAsia="Arial" w:cs="Arial"/>
        </w:rPr>
        <w:t>l</w:t>
      </w:r>
      <w:r w:rsidRPr="0C27FA8B" w:rsidR="567D11C1">
        <w:rPr>
          <w:rFonts w:ascii="Arial" w:hAnsi="Arial" w:eastAsia="Arial" w:cs="Arial"/>
        </w:rPr>
        <w:t>a</w:t>
      </w:r>
      <w:r w:rsidRPr="0C27FA8B" w:rsidR="567D11C1">
        <w:rPr>
          <w:rFonts w:ascii="Arial" w:hAnsi="Arial" w:eastAsia="Arial" w:cs="Arial"/>
        </w:rPr>
        <w:t>rgely beyond</w:t>
      </w:r>
      <w:r w:rsidRPr="0C27FA8B" w:rsidR="567D11C1">
        <w:rPr>
          <w:rFonts w:ascii="Arial" w:hAnsi="Arial" w:eastAsia="Arial" w:cs="Arial"/>
        </w:rPr>
        <w:t xml:space="preserve"> </w:t>
      </w:r>
      <w:r w:rsidRPr="0C27FA8B" w:rsidR="567D11C1">
        <w:rPr>
          <w:rFonts w:ascii="Arial" w:hAnsi="Arial" w:eastAsia="Arial" w:cs="Arial"/>
        </w:rPr>
        <w:t>o</w:t>
      </w:r>
      <w:r w:rsidRPr="0C27FA8B" w:rsidR="567D11C1">
        <w:rPr>
          <w:rFonts w:ascii="Arial" w:hAnsi="Arial" w:eastAsia="Arial" w:cs="Arial"/>
        </w:rPr>
        <w:t xml:space="preserve">ur control, we </w:t>
      </w:r>
      <w:r w:rsidRPr="0C27FA8B" w:rsidR="567D11C1">
        <w:rPr>
          <w:rFonts w:ascii="Arial" w:hAnsi="Arial" w:eastAsia="Arial" w:cs="Arial"/>
        </w:rPr>
        <w:t>r</w:t>
      </w:r>
      <w:r w:rsidRPr="0C27FA8B" w:rsidR="567D11C1">
        <w:rPr>
          <w:rFonts w:ascii="Arial" w:hAnsi="Arial" w:eastAsia="Arial" w:cs="Arial"/>
        </w:rPr>
        <w:t>e</w:t>
      </w:r>
      <w:r w:rsidRPr="0C27FA8B" w:rsidR="567D11C1">
        <w:rPr>
          <w:rFonts w:ascii="Arial" w:hAnsi="Arial" w:eastAsia="Arial" w:cs="Arial"/>
        </w:rPr>
        <w:t>main</w:t>
      </w:r>
      <w:r w:rsidRPr="0C27FA8B" w:rsidR="567D11C1">
        <w:rPr>
          <w:rFonts w:ascii="Arial" w:hAnsi="Arial" w:eastAsia="Arial" w:cs="Arial"/>
        </w:rPr>
        <w:t xml:space="preserve"> </w:t>
      </w:r>
      <w:r w:rsidRPr="0C27FA8B" w:rsidR="567D11C1">
        <w:rPr>
          <w:rFonts w:ascii="Arial" w:hAnsi="Arial" w:eastAsia="Arial" w:cs="Arial"/>
        </w:rPr>
        <w:t>c</w:t>
      </w:r>
      <w:r w:rsidRPr="0C27FA8B" w:rsidR="567D11C1">
        <w:rPr>
          <w:rFonts w:ascii="Arial" w:hAnsi="Arial" w:eastAsia="Arial" w:cs="Arial"/>
        </w:rPr>
        <w:t>ommitted to exploring and implementing measures that may help to reduce the gender pay gap.</w:t>
      </w:r>
    </w:p>
    <w:p w:rsidRPr="00E56379" w:rsidR="00800D94" w:rsidP="38F46558" w:rsidRDefault="00800D94" w14:paraId="1926428A" w14:textId="266D0F4F">
      <w:pPr>
        <w:pStyle w:val="Heading2"/>
        <w:numPr>
          <w:ilvl w:val="0"/>
          <w:numId w:val="0"/>
        </w:numPr>
        <w:rPr>
          <w:color w:val="A02B93" w:themeColor="accent5"/>
        </w:rPr>
      </w:pPr>
      <w:r w:rsidRPr="38F46558">
        <w:rPr>
          <w:color w:val="A02B93" w:themeColor="accent5"/>
        </w:rPr>
        <w:t>Actions to Address the Gender Pay Gap</w:t>
      </w:r>
    </w:p>
    <w:p w:rsidRPr="00C077F1" w:rsidR="006C3A75" w:rsidP="3C2EEABD" w:rsidRDefault="67AE7C87" w14:paraId="6E0128C2" w14:textId="2998DF48">
      <w:pPr>
        <w:spacing w:before="240" w:after="240"/>
      </w:pPr>
      <w:r w:rsidRPr="3C2EEABD">
        <w:rPr>
          <w:rFonts w:ascii="Arial" w:hAnsi="Arial" w:eastAsia="Arial" w:cs="Arial"/>
        </w:rPr>
        <w:t xml:space="preserve">The Trust is committed to reducing the gender pay gap and has taken proactive steps based on research-backed recommendations. While progress has been made, we </w:t>
      </w:r>
      <w:r w:rsidRPr="3C2EEABD">
        <w:rPr>
          <w:rFonts w:ascii="Arial" w:hAnsi="Arial" w:eastAsia="Arial" w:cs="Arial"/>
        </w:rPr>
        <w:lastRenderedPageBreak/>
        <w:t>recognise that further work is needed. To date, we have implemented the following measures:</w:t>
      </w:r>
    </w:p>
    <w:p w:rsidRPr="00C077F1" w:rsidR="006C3A75" w:rsidP="38F46558" w:rsidRDefault="67AE7C87" w14:paraId="184DC2E1" w14:textId="04A28B68">
      <w:pPr>
        <w:pStyle w:val="Heading4"/>
        <w:spacing w:before="319" w:after="319"/>
        <w:ind w:left="720"/>
        <w:rPr>
          <w:rFonts w:ascii="Arial" w:hAnsi="Arial" w:eastAsia="Arial" w:cs="Arial"/>
          <w:b/>
          <w:bCs/>
          <w:i w:val="0"/>
          <w:iCs w:val="0"/>
          <w:color w:val="002060"/>
        </w:rPr>
      </w:pPr>
      <w:r w:rsidRPr="38F46558">
        <w:rPr>
          <w:rFonts w:ascii="Arial" w:hAnsi="Arial" w:eastAsia="Arial" w:cs="Arial"/>
          <w:b/>
          <w:bCs/>
          <w:i w:val="0"/>
          <w:iCs w:val="0"/>
          <w:color w:val="002060"/>
        </w:rPr>
        <w:t>Data Analysis and Strategic Actions</w:t>
      </w:r>
    </w:p>
    <w:p w:rsidRPr="00C077F1" w:rsidR="006C3A75" w:rsidP="38F46558" w:rsidRDefault="67AE7C87" w14:paraId="6CF22F60" w14:textId="05A33E37">
      <w:pPr>
        <w:spacing w:before="240" w:after="240"/>
        <w:ind w:left="720"/>
      </w:pPr>
      <w:r w:rsidRPr="38F46558">
        <w:rPr>
          <w:rFonts w:ascii="Arial" w:hAnsi="Arial" w:eastAsia="Arial" w:cs="Arial"/>
        </w:rPr>
        <w:t>We have invested in improved software systems, including a new Management Information System and Finance Software, to enhance our ability to analyse staffing, pay, and recruitment data. These tools allow us to take a more proactive approach in expanding our recruitment reach and ensuring a fair and transparent hiring process.</w:t>
      </w:r>
    </w:p>
    <w:p w:rsidRPr="00C077F1" w:rsidR="006C3A75" w:rsidP="38F46558" w:rsidRDefault="67AE7C87" w14:paraId="1ACE0D36" w14:textId="616E1EA2">
      <w:pPr>
        <w:pStyle w:val="Heading4"/>
        <w:spacing w:before="319" w:after="319"/>
        <w:ind w:left="720"/>
        <w:rPr>
          <w:rFonts w:ascii="Arial" w:hAnsi="Arial" w:eastAsia="Arial" w:cs="Arial"/>
          <w:b/>
          <w:bCs/>
          <w:i w:val="0"/>
          <w:iCs w:val="0"/>
          <w:color w:val="002060"/>
        </w:rPr>
      </w:pPr>
      <w:r w:rsidRPr="38F46558">
        <w:rPr>
          <w:rFonts w:ascii="Arial" w:hAnsi="Arial" w:eastAsia="Arial" w:cs="Arial"/>
          <w:b/>
          <w:bCs/>
          <w:i w:val="0"/>
          <w:iCs w:val="0"/>
          <w:color w:val="002060"/>
        </w:rPr>
        <w:t>Recruitment and Career Progression</w:t>
      </w:r>
    </w:p>
    <w:p w:rsidRPr="00C077F1" w:rsidR="006C3A75" w:rsidP="38F46558" w:rsidRDefault="67AE7C87" w14:paraId="4E46B57C" w14:textId="389157BB">
      <w:pPr>
        <w:spacing w:before="240" w:after="240"/>
        <w:ind w:left="720"/>
      </w:pPr>
      <w:r w:rsidRPr="38F46558">
        <w:rPr>
          <w:rFonts w:ascii="Arial" w:hAnsi="Arial" w:eastAsia="Arial" w:cs="Arial"/>
        </w:rPr>
        <w:t>We continue to see a significantly higher proportion of female applicants for senior roles. While senior positions are naturally fewer in number compared to entry and mid-level roles, we have strengthened our approach to leadership recruitment by ensuring:</w:t>
      </w:r>
    </w:p>
    <w:p w:rsidRPr="00C077F1" w:rsidR="006C3A75" w:rsidP="3C2EEABD" w:rsidRDefault="67AE7C87" w14:paraId="14AEF747" w14:textId="536B3946">
      <w:pPr>
        <w:pStyle w:val="ListParagraph"/>
        <w:numPr>
          <w:ilvl w:val="0"/>
          <w:numId w:val="2"/>
        </w:numPr>
        <w:spacing w:after="0"/>
        <w:rPr>
          <w:rFonts w:ascii="Arial" w:hAnsi="Arial" w:eastAsia="Arial" w:cs="Arial"/>
        </w:rPr>
      </w:pPr>
      <w:r w:rsidRPr="3C2EEABD">
        <w:rPr>
          <w:rFonts w:ascii="Arial" w:hAnsi="Arial" w:eastAsia="Arial" w:cs="Arial"/>
        </w:rPr>
        <w:t>Wider advertisement of leadership roles both internally and externally.</w:t>
      </w:r>
    </w:p>
    <w:p w:rsidRPr="00C077F1" w:rsidR="006C3A75" w:rsidP="3C2EEABD" w:rsidRDefault="67AE7C87" w14:paraId="6EEA4EAF" w14:textId="0243A176">
      <w:pPr>
        <w:pStyle w:val="ListParagraph"/>
        <w:numPr>
          <w:ilvl w:val="0"/>
          <w:numId w:val="2"/>
        </w:numPr>
        <w:spacing w:after="0"/>
        <w:rPr>
          <w:rFonts w:ascii="Arial" w:hAnsi="Arial" w:eastAsia="Arial" w:cs="Arial"/>
        </w:rPr>
      </w:pPr>
      <w:r w:rsidRPr="3C2EEABD">
        <w:rPr>
          <w:rFonts w:ascii="Arial" w:hAnsi="Arial" w:eastAsia="Arial" w:cs="Arial"/>
        </w:rPr>
        <w:t xml:space="preserve">The introduction of a </w:t>
      </w:r>
      <w:r w:rsidRPr="3C2EEABD">
        <w:rPr>
          <w:rFonts w:ascii="Arial" w:hAnsi="Arial" w:eastAsia="Arial" w:cs="Arial"/>
          <w:b/>
          <w:bCs/>
        </w:rPr>
        <w:t>‘Career Expression of Interest’</w:t>
      </w:r>
      <w:r w:rsidRPr="3C2EEABD">
        <w:rPr>
          <w:rFonts w:ascii="Arial" w:hAnsi="Arial" w:eastAsia="Arial" w:cs="Arial"/>
        </w:rPr>
        <w:t xml:space="preserve"> form and an </w:t>
      </w:r>
      <w:r w:rsidRPr="3C2EEABD">
        <w:rPr>
          <w:rFonts w:ascii="Arial" w:hAnsi="Arial" w:eastAsia="Arial" w:cs="Arial"/>
          <w:b/>
          <w:bCs/>
        </w:rPr>
        <w:t>active skills register</w:t>
      </w:r>
      <w:r w:rsidRPr="3C2EEABD">
        <w:rPr>
          <w:rFonts w:ascii="Arial" w:hAnsi="Arial" w:eastAsia="Arial" w:cs="Arial"/>
        </w:rPr>
        <w:t xml:space="preserve"> to support career progression.</w:t>
      </w:r>
    </w:p>
    <w:p w:rsidRPr="00C077F1" w:rsidR="006C3A75" w:rsidP="3C2EEABD" w:rsidRDefault="67AE7C87" w14:paraId="2F432347" w14:textId="6C5456F0">
      <w:pPr>
        <w:pStyle w:val="ListParagraph"/>
        <w:numPr>
          <w:ilvl w:val="0"/>
          <w:numId w:val="2"/>
        </w:numPr>
        <w:spacing w:after="0"/>
        <w:rPr>
          <w:rFonts w:ascii="Arial" w:hAnsi="Arial" w:eastAsia="Arial" w:cs="Arial"/>
        </w:rPr>
      </w:pPr>
      <w:r w:rsidRPr="3C2EEABD">
        <w:rPr>
          <w:rFonts w:ascii="Arial" w:hAnsi="Arial" w:eastAsia="Arial" w:cs="Arial"/>
        </w:rPr>
        <w:t>A structured, transparent recruitment process for leadership positions, including standardi</w:t>
      </w:r>
      <w:r w:rsidRPr="3C2EEABD" w:rsidR="6313488E">
        <w:rPr>
          <w:rFonts w:ascii="Arial" w:hAnsi="Arial" w:eastAsia="Arial" w:cs="Arial"/>
        </w:rPr>
        <w:t>s</w:t>
      </w:r>
      <w:r w:rsidRPr="3C2EEABD">
        <w:rPr>
          <w:rFonts w:ascii="Arial" w:hAnsi="Arial" w:eastAsia="Arial" w:cs="Arial"/>
        </w:rPr>
        <w:t xml:space="preserve">ed criteria, skill-based assessments, and </w:t>
      </w:r>
      <w:r w:rsidRPr="3C2EEABD" w:rsidR="293FF732">
        <w:rPr>
          <w:rFonts w:ascii="Arial" w:hAnsi="Arial" w:eastAsia="Arial" w:cs="Arial"/>
        </w:rPr>
        <w:t>standardised</w:t>
      </w:r>
      <w:r w:rsidRPr="3C2EEABD">
        <w:rPr>
          <w:rFonts w:ascii="Arial" w:hAnsi="Arial" w:eastAsia="Arial" w:cs="Arial"/>
        </w:rPr>
        <w:t xml:space="preserve"> interview questions to minimi</w:t>
      </w:r>
      <w:r w:rsidRPr="3C2EEABD" w:rsidR="37B27833">
        <w:rPr>
          <w:rFonts w:ascii="Arial" w:hAnsi="Arial" w:eastAsia="Arial" w:cs="Arial"/>
        </w:rPr>
        <w:t>s</w:t>
      </w:r>
      <w:r w:rsidRPr="3C2EEABD">
        <w:rPr>
          <w:rFonts w:ascii="Arial" w:hAnsi="Arial" w:eastAsia="Arial" w:cs="Arial"/>
        </w:rPr>
        <w:t>e unconscious bias.</w:t>
      </w:r>
    </w:p>
    <w:p w:rsidRPr="00C077F1" w:rsidR="006C3A75" w:rsidP="3C2EEABD" w:rsidRDefault="67AE7C87" w14:paraId="4F6567E9" w14:textId="3965854F">
      <w:pPr>
        <w:pStyle w:val="ListParagraph"/>
        <w:numPr>
          <w:ilvl w:val="0"/>
          <w:numId w:val="2"/>
        </w:numPr>
        <w:spacing w:after="0"/>
        <w:rPr>
          <w:rFonts w:ascii="Arial" w:hAnsi="Arial" w:eastAsia="Arial" w:cs="Arial"/>
        </w:rPr>
      </w:pPr>
      <w:r w:rsidRPr="3C2EEABD">
        <w:rPr>
          <w:rFonts w:ascii="Arial" w:hAnsi="Arial" w:eastAsia="Arial" w:cs="Arial"/>
        </w:rPr>
        <w:t>Transparent grading structures for all positions, ensuring salaries are clearly defined and advertised.</w:t>
      </w:r>
    </w:p>
    <w:p w:rsidRPr="00C077F1" w:rsidR="006C3A75" w:rsidP="38F46558" w:rsidRDefault="67AE7C87" w14:paraId="318B9CA5" w14:textId="3EC422F0">
      <w:pPr>
        <w:pStyle w:val="Heading4"/>
        <w:spacing w:before="319" w:after="319"/>
        <w:rPr>
          <w:rFonts w:ascii="Arial" w:hAnsi="Arial" w:eastAsia="Arial" w:cs="Arial"/>
          <w:b/>
          <w:bCs/>
          <w:i w:val="0"/>
          <w:iCs w:val="0"/>
          <w:color w:val="002060"/>
        </w:rPr>
      </w:pPr>
      <w:r w:rsidRPr="38F46558">
        <w:rPr>
          <w:rFonts w:ascii="Arial" w:hAnsi="Arial" w:eastAsia="Arial" w:cs="Arial"/>
          <w:b/>
          <w:bCs/>
          <w:i w:val="0"/>
          <w:iCs w:val="0"/>
          <w:color w:val="A02B93" w:themeColor="accent5"/>
        </w:rPr>
        <w:t>Transparency and Pay Equity</w:t>
      </w:r>
    </w:p>
    <w:p w:rsidRPr="00C077F1" w:rsidR="006C3A75" w:rsidP="38F46558" w:rsidRDefault="67AE7C87" w14:paraId="44B89F5A" w14:textId="59E8C33F">
      <w:pPr>
        <w:spacing w:before="240" w:after="240"/>
      </w:pPr>
      <w:r w:rsidRPr="38F46558">
        <w:rPr>
          <w:rFonts w:ascii="Arial" w:hAnsi="Arial" w:eastAsia="Arial" w:cs="Arial"/>
        </w:rPr>
        <w:t>All policies and processes related to pay awards and promotions are fully transparent and accessible to all staff. Teaching staff are remunerated based on an incremental pay scale that reflects their professional contributions, experience, and impact. Support staff pay is determined through a rigorous job evaluation process, regularly reviewed and benchmarked nationally and locally to ensure fairness and alignment with role responsibilities.</w:t>
      </w:r>
    </w:p>
    <w:p w:rsidRPr="00C077F1" w:rsidR="006C3A75" w:rsidP="38F46558" w:rsidRDefault="67AE7C87" w14:paraId="0C1B472A" w14:textId="4D447257">
      <w:pPr>
        <w:pStyle w:val="Heading4"/>
        <w:spacing w:before="319" w:after="319"/>
        <w:rPr>
          <w:rFonts w:ascii="Arial" w:hAnsi="Arial" w:eastAsia="Arial" w:cs="Arial"/>
          <w:b/>
          <w:bCs/>
          <w:i w:val="0"/>
          <w:iCs w:val="0"/>
          <w:color w:val="A02B93" w:themeColor="accent5"/>
        </w:rPr>
      </w:pPr>
      <w:r w:rsidRPr="38F46558">
        <w:rPr>
          <w:rFonts w:ascii="Arial" w:hAnsi="Arial" w:eastAsia="Arial" w:cs="Arial"/>
          <w:b/>
          <w:bCs/>
          <w:i w:val="0"/>
          <w:iCs w:val="0"/>
          <w:color w:val="A02B93" w:themeColor="accent5"/>
        </w:rPr>
        <w:t>Accountability and Reporting</w:t>
      </w:r>
    </w:p>
    <w:p w:rsidRPr="00C077F1" w:rsidR="006C3A75" w:rsidP="3C2EEABD" w:rsidRDefault="67AE7C87" w14:paraId="453D0BE7" w14:textId="2AF3D440">
      <w:pPr>
        <w:spacing w:before="240" w:after="240"/>
      </w:pPr>
      <w:r w:rsidRPr="3C2EEABD">
        <w:rPr>
          <w:rFonts w:ascii="Arial" w:hAnsi="Arial" w:eastAsia="Arial" w:cs="Arial"/>
        </w:rPr>
        <w:t>The Board of Trustees, alongside the CEO, formally reviews and signs off on gender pay gap reports and associated actions. We have conducted an annual staff survey for the past two years, actively responding to feedback. Additionally, structured exit interviews help us understand and address any gender-related trends in staff retention.</w:t>
      </w:r>
    </w:p>
    <w:p w:rsidRPr="00C077F1" w:rsidR="006C3A75" w:rsidP="38F46558" w:rsidRDefault="67AE7C87" w14:paraId="79D2F506" w14:textId="7D58E67C">
      <w:pPr>
        <w:pStyle w:val="Heading4"/>
        <w:spacing w:before="319" w:after="319"/>
        <w:rPr>
          <w:rFonts w:ascii="Arial" w:hAnsi="Arial" w:eastAsia="Arial" w:cs="Arial"/>
          <w:b/>
          <w:bCs/>
          <w:i w:val="0"/>
          <w:iCs w:val="0"/>
          <w:color w:val="A02B93" w:themeColor="accent5"/>
        </w:rPr>
      </w:pPr>
      <w:r w:rsidRPr="38F46558">
        <w:rPr>
          <w:rFonts w:ascii="Arial" w:hAnsi="Arial" w:eastAsia="Arial" w:cs="Arial"/>
          <w:b/>
          <w:bCs/>
          <w:i w:val="0"/>
          <w:iCs w:val="0"/>
          <w:color w:val="A02B93" w:themeColor="accent5"/>
        </w:rPr>
        <w:lastRenderedPageBreak/>
        <w:t>Future Actions and Ongoing Commitment</w:t>
      </w:r>
    </w:p>
    <w:p w:rsidRPr="00C077F1" w:rsidR="006C3A75" w:rsidP="3C2EEABD" w:rsidRDefault="67AE7C87" w14:paraId="7D2F2AD9" w14:textId="59AEEC7C">
      <w:pPr>
        <w:spacing w:before="240" w:after="240"/>
      </w:pPr>
      <w:r w:rsidRPr="3C2EEABD">
        <w:rPr>
          <w:rFonts w:ascii="Arial" w:hAnsi="Arial" w:eastAsia="Arial" w:cs="Arial"/>
        </w:rPr>
        <w:t>With the enhanced data analysis tools available from 202</w:t>
      </w:r>
      <w:r w:rsidR="000A78CA">
        <w:rPr>
          <w:rFonts w:ascii="Arial" w:hAnsi="Arial" w:eastAsia="Arial" w:cs="Arial"/>
        </w:rPr>
        <w:t>5</w:t>
      </w:r>
      <w:r w:rsidRPr="3C2EEABD">
        <w:rPr>
          <w:rFonts w:ascii="Arial" w:hAnsi="Arial" w:eastAsia="Arial" w:cs="Arial"/>
        </w:rPr>
        <w:t>, we will be able to take a more evidence-driven approach to addressing the gender pay gap. Moving forward, we will:</w:t>
      </w:r>
    </w:p>
    <w:p w:rsidRPr="00C077F1" w:rsidR="006C3A75" w:rsidP="3C2EEABD" w:rsidRDefault="67AE7C87" w14:paraId="24718495" w14:textId="600E7797">
      <w:pPr>
        <w:pStyle w:val="ListParagraph"/>
        <w:numPr>
          <w:ilvl w:val="0"/>
          <w:numId w:val="1"/>
        </w:numPr>
        <w:spacing w:after="0"/>
        <w:rPr>
          <w:rFonts w:ascii="Arial" w:hAnsi="Arial" w:eastAsia="Arial" w:cs="Arial"/>
        </w:rPr>
      </w:pPr>
      <w:r w:rsidRPr="000A78CA">
        <w:rPr>
          <w:rFonts w:ascii="Arial" w:hAnsi="Arial" w:eastAsia="Arial" w:cs="Arial"/>
        </w:rPr>
        <w:t>Develop employee voice forum</w:t>
      </w:r>
      <w:r w:rsidR="000A78CA">
        <w:rPr>
          <w:rFonts w:ascii="Arial" w:hAnsi="Arial" w:eastAsia="Arial" w:cs="Arial"/>
        </w:rPr>
        <w:t>s/mechanism</w:t>
      </w:r>
      <w:r w:rsidRPr="000A78CA">
        <w:rPr>
          <w:rFonts w:ascii="Arial" w:hAnsi="Arial" w:eastAsia="Arial" w:cs="Arial"/>
        </w:rPr>
        <w:t>s to ensure</w:t>
      </w:r>
      <w:r w:rsidRPr="3C2EEABD">
        <w:rPr>
          <w:rFonts w:ascii="Arial" w:hAnsi="Arial" w:eastAsia="Arial" w:cs="Arial"/>
        </w:rPr>
        <w:t xml:space="preserve"> direct staff input in decision-making.</w:t>
      </w:r>
    </w:p>
    <w:p w:rsidRPr="00C077F1" w:rsidR="006C3A75" w:rsidP="3C2EEABD" w:rsidRDefault="67AE7C87" w14:paraId="420B111F" w14:textId="1A0D551C">
      <w:pPr>
        <w:pStyle w:val="ListParagraph"/>
        <w:numPr>
          <w:ilvl w:val="0"/>
          <w:numId w:val="1"/>
        </w:numPr>
        <w:spacing w:after="0"/>
        <w:rPr>
          <w:rFonts w:ascii="Arial" w:hAnsi="Arial" w:eastAsia="Arial" w:cs="Arial"/>
        </w:rPr>
      </w:pPr>
      <w:r w:rsidRPr="3C2EEABD">
        <w:rPr>
          <w:rFonts w:ascii="Arial" w:hAnsi="Arial" w:eastAsia="Arial" w:cs="Arial"/>
        </w:rPr>
        <w:t>Continue promoting policies and initiatives that support equal opportunities across our workforce.</w:t>
      </w:r>
    </w:p>
    <w:p w:rsidRPr="00C077F1" w:rsidR="006C3A75" w:rsidP="3C2EEABD" w:rsidRDefault="67AE7C87" w14:paraId="51B50CA7" w14:textId="3BA8776F">
      <w:pPr>
        <w:pStyle w:val="ListParagraph"/>
        <w:numPr>
          <w:ilvl w:val="0"/>
          <w:numId w:val="1"/>
        </w:numPr>
        <w:spacing w:after="0"/>
        <w:rPr>
          <w:rFonts w:ascii="Arial" w:hAnsi="Arial" w:eastAsia="Arial" w:cs="Arial"/>
        </w:rPr>
      </w:pPr>
      <w:r w:rsidRPr="3C2EEABD">
        <w:rPr>
          <w:rFonts w:ascii="Arial" w:hAnsi="Arial" w:eastAsia="Arial" w:cs="Arial"/>
        </w:rPr>
        <w:t>Support career development for all staff, through access to training, mentorship, and structured career conversations with line managers.</w:t>
      </w:r>
    </w:p>
    <w:p w:rsidRPr="00C077F1" w:rsidR="006C3A75" w:rsidP="3C2EEABD" w:rsidRDefault="67AE7C87" w14:paraId="1AA1F477" w14:textId="461066A8">
      <w:pPr>
        <w:pStyle w:val="ListParagraph"/>
        <w:numPr>
          <w:ilvl w:val="0"/>
          <w:numId w:val="1"/>
        </w:numPr>
        <w:spacing w:after="0"/>
        <w:rPr>
          <w:rFonts w:ascii="Arial" w:hAnsi="Arial" w:eastAsia="Arial" w:cs="Arial"/>
        </w:rPr>
      </w:pPr>
      <w:r w:rsidRPr="3C2EEABD">
        <w:rPr>
          <w:rFonts w:ascii="Arial" w:hAnsi="Arial" w:eastAsia="Arial" w:cs="Arial"/>
        </w:rPr>
        <w:t>Explore strategies to attract more male applicants to roles at the lower end of the pay scale, aiming for a more balanced gender distribution across all levels of our organisation.</w:t>
      </w:r>
    </w:p>
    <w:p w:rsidRPr="00C077F1" w:rsidR="006C3A75" w:rsidP="3C2EEABD" w:rsidRDefault="67AE7C87" w14:paraId="20AD6381" w14:textId="1005C471">
      <w:pPr>
        <w:spacing w:before="240" w:after="240"/>
      </w:pPr>
      <w:r w:rsidRPr="3C2EEABD">
        <w:rPr>
          <w:rFonts w:ascii="Arial" w:hAnsi="Arial" w:eastAsia="Arial" w:cs="Arial"/>
        </w:rPr>
        <w:t>By remaining committed to these actions, we strive to create a workplace that fosters equal opportunities and long-term career growth for all employees.</w:t>
      </w:r>
    </w:p>
    <w:p w:rsidRPr="00C077F1" w:rsidR="006C3A75" w:rsidP="3C2EEABD" w:rsidRDefault="006C3A75" w14:paraId="7238A487" w14:textId="35562B8D">
      <w:pPr>
        <w:pStyle w:val="Heading2"/>
        <w:numPr>
          <w:ilvl w:val="0"/>
          <w:numId w:val="0"/>
        </w:numPr>
        <w:rPr>
          <w:color w:val="B823B8"/>
        </w:rPr>
      </w:pPr>
      <w:r w:rsidRPr="38F46558">
        <w:rPr>
          <w:color w:val="B823B8"/>
        </w:rPr>
        <w:t>Declaration</w:t>
      </w:r>
    </w:p>
    <w:p w:rsidRPr="00C077F1" w:rsidR="006C3A75" w:rsidP="006C3A75" w:rsidRDefault="0094411F" w14:paraId="29A8860F" w14:textId="619B6447">
      <w:pPr>
        <w:rPr>
          <w:rFonts w:ascii="Arial" w:hAnsi="Arial" w:cs="Arial"/>
        </w:rPr>
      </w:pPr>
      <w:r w:rsidRPr="00C077F1">
        <w:rPr>
          <w:rFonts w:ascii="Arial" w:hAnsi="Arial" w:cs="Arial"/>
          <w:noProof/>
        </w:rPr>
        <w:drawing>
          <wp:anchor distT="0" distB="0" distL="114300" distR="114300" simplePos="0" relativeHeight="251658240" behindDoc="1" locked="0" layoutInCell="1" allowOverlap="1" wp14:anchorId="7FF96A9D" wp14:editId="4C8383C6">
            <wp:simplePos x="0" y="0"/>
            <wp:positionH relativeFrom="column">
              <wp:posOffset>914400</wp:posOffset>
            </wp:positionH>
            <wp:positionV relativeFrom="paragraph">
              <wp:posOffset>454978</wp:posOffset>
            </wp:positionV>
            <wp:extent cx="1971675" cy="533400"/>
            <wp:effectExtent l="0" t="0" r="0" b="0"/>
            <wp:wrapNone/>
            <wp:docPr id="2127487926"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87926" name="Picture 1" descr="A close-up of a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71675" cy="533400"/>
                    </a:xfrm>
                    <a:prstGeom prst="rect">
                      <a:avLst/>
                    </a:prstGeom>
                  </pic:spPr>
                </pic:pic>
              </a:graphicData>
            </a:graphic>
          </wp:anchor>
        </w:drawing>
      </w:r>
      <w:r w:rsidRPr="00C077F1" w:rsidR="006C3A75">
        <w:rPr>
          <w:rFonts w:ascii="Arial" w:hAnsi="Arial" w:cs="Arial"/>
        </w:rPr>
        <w:t>We confirm that the information and data reported are accurate and in line with the mandatory requirements.</w:t>
      </w:r>
    </w:p>
    <w:p w:rsidRPr="00C077F1" w:rsidR="0094411F" w:rsidP="006C3A75" w:rsidRDefault="0094411F" w14:paraId="051357E0" w14:textId="4F02D3EC">
      <w:pPr>
        <w:rPr>
          <w:rFonts w:ascii="Arial" w:hAnsi="Arial" w:cs="Arial"/>
        </w:rPr>
      </w:pPr>
      <w:r w:rsidRPr="38F46558">
        <w:rPr>
          <w:rFonts w:ascii="Arial" w:hAnsi="Arial" w:cs="Arial"/>
        </w:rPr>
        <w:t xml:space="preserve">Signature: </w:t>
      </w:r>
    </w:p>
    <w:p w:rsidR="38F46558" w:rsidP="38F46558" w:rsidRDefault="38F46558" w14:paraId="03C53721" w14:textId="4BF97BD9">
      <w:pPr>
        <w:rPr>
          <w:rFonts w:ascii="Arial" w:hAnsi="Arial" w:cs="Arial"/>
        </w:rPr>
      </w:pPr>
    </w:p>
    <w:p w:rsidR="00C02AE5" w:rsidP="006C3A75" w:rsidRDefault="000F710A" w14:paraId="1F252CAB" w14:textId="77777777">
      <w:pPr>
        <w:rPr>
          <w:rFonts w:ascii="Arial" w:hAnsi="Arial" w:cs="Arial"/>
        </w:rPr>
      </w:pPr>
      <w:r w:rsidRPr="00C077F1">
        <w:rPr>
          <w:rFonts w:ascii="Arial" w:hAnsi="Arial" w:cs="Arial"/>
        </w:rPr>
        <w:t>Name:</w:t>
      </w:r>
      <w:r w:rsidRPr="00C077F1" w:rsidR="003931E2">
        <w:rPr>
          <w:rFonts w:ascii="Arial" w:hAnsi="Arial" w:cs="Arial"/>
        </w:rPr>
        <w:t xml:space="preserve"> </w:t>
      </w:r>
      <w:r w:rsidRPr="00C077F1" w:rsidR="00401143">
        <w:rPr>
          <w:rFonts w:ascii="Arial" w:hAnsi="Arial" w:cs="Arial"/>
        </w:rPr>
        <w:t>Graham Boyd</w:t>
      </w:r>
    </w:p>
    <w:p w:rsidRPr="00C077F1" w:rsidR="00401143" w:rsidP="006C3A75" w:rsidRDefault="000F710A" w14:paraId="7247823F" w14:textId="217BA2E7">
      <w:pPr>
        <w:rPr>
          <w:rFonts w:ascii="Arial" w:hAnsi="Arial" w:cs="Arial"/>
        </w:rPr>
      </w:pPr>
      <w:r w:rsidRPr="00C077F1">
        <w:rPr>
          <w:rFonts w:ascii="Arial" w:hAnsi="Arial" w:cs="Arial"/>
        </w:rPr>
        <w:t xml:space="preserve">Position: </w:t>
      </w:r>
      <w:r w:rsidRPr="00C077F1" w:rsidR="00401143">
        <w:rPr>
          <w:rFonts w:ascii="Arial" w:hAnsi="Arial" w:cs="Arial"/>
        </w:rPr>
        <w:t>Chief Executive Officer</w:t>
      </w:r>
    </w:p>
    <w:p w:rsidRPr="00C077F1" w:rsidR="00401143" w:rsidP="006C3A75" w:rsidRDefault="00401143" w14:paraId="5879B915" w14:textId="7887FF62">
      <w:pPr>
        <w:rPr>
          <w:rFonts w:ascii="Arial" w:hAnsi="Arial" w:cs="Arial"/>
        </w:rPr>
      </w:pPr>
      <w:r w:rsidRPr="00C077F1">
        <w:rPr>
          <w:rFonts w:ascii="Arial" w:hAnsi="Arial" w:cs="Arial"/>
        </w:rPr>
        <w:t xml:space="preserve">Date: </w:t>
      </w:r>
      <w:r w:rsidRPr="000A78CA" w:rsidR="000A78CA">
        <w:rPr>
          <w:rFonts w:ascii="Arial" w:hAnsi="Arial" w:cs="Arial"/>
          <w:highlight w:val="yellow"/>
        </w:rPr>
        <w:t>tbc</w:t>
      </w:r>
    </w:p>
    <w:sectPr w:rsidRPr="00C077F1" w:rsidR="00401143" w:rsidSect="001D09F6">
      <w:pgSz w:w="11906" w:h="16838" w:orient="portrait"/>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2BB" w:rsidP="001D09F6" w:rsidRDefault="001F32BB" w14:paraId="688E72BF" w14:textId="77777777">
      <w:pPr>
        <w:spacing w:after="0" w:line="240" w:lineRule="auto"/>
      </w:pPr>
      <w:r>
        <w:separator/>
      </w:r>
    </w:p>
  </w:endnote>
  <w:endnote w:type="continuationSeparator" w:id="0">
    <w:p w:rsidR="001F32BB" w:rsidP="001D09F6" w:rsidRDefault="001F32BB" w14:paraId="746553FA" w14:textId="77777777">
      <w:pPr>
        <w:spacing w:after="0" w:line="240" w:lineRule="auto"/>
      </w:pPr>
      <w:r>
        <w:continuationSeparator/>
      </w:r>
    </w:p>
  </w:endnote>
  <w:endnote w:type="continuationNotice" w:id="1">
    <w:p w:rsidR="001F32BB" w:rsidRDefault="001F32BB" w14:paraId="16B477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2BB" w:rsidP="001D09F6" w:rsidRDefault="001F32BB" w14:paraId="76D4CAC9" w14:textId="77777777">
      <w:pPr>
        <w:spacing w:after="0" w:line="240" w:lineRule="auto"/>
      </w:pPr>
      <w:r>
        <w:separator/>
      </w:r>
    </w:p>
  </w:footnote>
  <w:footnote w:type="continuationSeparator" w:id="0">
    <w:p w:rsidR="001F32BB" w:rsidP="001D09F6" w:rsidRDefault="001F32BB" w14:paraId="7977BCF1" w14:textId="77777777">
      <w:pPr>
        <w:spacing w:after="0" w:line="240" w:lineRule="auto"/>
      </w:pPr>
      <w:r>
        <w:continuationSeparator/>
      </w:r>
    </w:p>
  </w:footnote>
  <w:footnote w:type="continuationNotice" w:id="1">
    <w:p w:rsidR="001F32BB" w:rsidRDefault="001F32BB" w14:paraId="4C69221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A2F02"/>
    <w:multiLevelType w:val="hybridMultilevel"/>
    <w:tmpl w:val="ABAC8DDE"/>
    <w:lvl w:ilvl="0" w:tplc="16D8BAC8">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A339DB"/>
    <w:multiLevelType w:val="hybridMultilevel"/>
    <w:tmpl w:val="770C92A0"/>
    <w:lvl w:ilvl="0" w:tplc="A114FD18">
      <w:start w:val="1"/>
      <w:numFmt w:val="bullet"/>
      <w:lvlText w:val=""/>
      <w:lvlJc w:val="left"/>
      <w:pPr>
        <w:ind w:left="720" w:hanging="360"/>
      </w:pPr>
      <w:rPr>
        <w:rFonts w:hint="default" w:ascii="Symbol" w:hAnsi="Symbol"/>
      </w:rPr>
    </w:lvl>
    <w:lvl w:ilvl="1" w:tplc="30EAC9CA">
      <w:start w:val="1"/>
      <w:numFmt w:val="bullet"/>
      <w:lvlText w:val="o"/>
      <w:lvlJc w:val="left"/>
      <w:pPr>
        <w:ind w:left="1440" w:hanging="360"/>
      </w:pPr>
      <w:rPr>
        <w:rFonts w:hint="default" w:ascii="Courier New" w:hAnsi="Courier New"/>
      </w:rPr>
    </w:lvl>
    <w:lvl w:ilvl="2" w:tplc="EB2C9544">
      <w:start w:val="1"/>
      <w:numFmt w:val="bullet"/>
      <w:lvlText w:val=""/>
      <w:lvlJc w:val="left"/>
      <w:pPr>
        <w:ind w:left="2160" w:hanging="360"/>
      </w:pPr>
      <w:rPr>
        <w:rFonts w:hint="default" w:ascii="Wingdings" w:hAnsi="Wingdings"/>
      </w:rPr>
    </w:lvl>
    <w:lvl w:ilvl="3" w:tplc="BDACF296">
      <w:start w:val="1"/>
      <w:numFmt w:val="bullet"/>
      <w:lvlText w:val=""/>
      <w:lvlJc w:val="left"/>
      <w:pPr>
        <w:ind w:left="2880" w:hanging="360"/>
      </w:pPr>
      <w:rPr>
        <w:rFonts w:hint="default" w:ascii="Symbol" w:hAnsi="Symbol"/>
      </w:rPr>
    </w:lvl>
    <w:lvl w:ilvl="4" w:tplc="05749CF4">
      <w:start w:val="1"/>
      <w:numFmt w:val="bullet"/>
      <w:lvlText w:val="o"/>
      <w:lvlJc w:val="left"/>
      <w:pPr>
        <w:ind w:left="3600" w:hanging="360"/>
      </w:pPr>
      <w:rPr>
        <w:rFonts w:hint="default" w:ascii="Courier New" w:hAnsi="Courier New"/>
      </w:rPr>
    </w:lvl>
    <w:lvl w:ilvl="5" w:tplc="D562BC24">
      <w:start w:val="1"/>
      <w:numFmt w:val="bullet"/>
      <w:lvlText w:val=""/>
      <w:lvlJc w:val="left"/>
      <w:pPr>
        <w:ind w:left="4320" w:hanging="360"/>
      </w:pPr>
      <w:rPr>
        <w:rFonts w:hint="default" w:ascii="Wingdings" w:hAnsi="Wingdings"/>
      </w:rPr>
    </w:lvl>
    <w:lvl w:ilvl="6" w:tplc="222C74BC">
      <w:start w:val="1"/>
      <w:numFmt w:val="bullet"/>
      <w:lvlText w:val=""/>
      <w:lvlJc w:val="left"/>
      <w:pPr>
        <w:ind w:left="5040" w:hanging="360"/>
      </w:pPr>
      <w:rPr>
        <w:rFonts w:hint="default" w:ascii="Symbol" w:hAnsi="Symbol"/>
      </w:rPr>
    </w:lvl>
    <w:lvl w:ilvl="7" w:tplc="CB480800">
      <w:start w:val="1"/>
      <w:numFmt w:val="bullet"/>
      <w:lvlText w:val="o"/>
      <w:lvlJc w:val="left"/>
      <w:pPr>
        <w:ind w:left="5760" w:hanging="360"/>
      </w:pPr>
      <w:rPr>
        <w:rFonts w:hint="default" w:ascii="Courier New" w:hAnsi="Courier New"/>
      </w:rPr>
    </w:lvl>
    <w:lvl w:ilvl="8" w:tplc="4E1ACAF6">
      <w:start w:val="1"/>
      <w:numFmt w:val="bullet"/>
      <w:lvlText w:val=""/>
      <w:lvlJc w:val="left"/>
      <w:pPr>
        <w:ind w:left="6480" w:hanging="360"/>
      </w:pPr>
      <w:rPr>
        <w:rFonts w:hint="default" w:ascii="Wingdings" w:hAnsi="Wingdings"/>
      </w:rPr>
    </w:lvl>
  </w:abstractNum>
  <w:abstractNum w:abstractNumId="2" w15:restartNumberingAfterBreak="0">
    <w:nsid w:val="65B47ED5"/>
    <w:multiLevelType w:val="hybridMultilevel"/>
    <w:tmpl w:val="E6C49A68"/>
    <w:lvl w:ilvl="0" w:tplc="F5DED64C">
      <w:start w:val="1"/>
      <w:numFmt w:val="bullet"/>
      <w:lvlText w:val=""/>
      <w:lvlJc w:val="left"/>
      <w:pPr>
        <w:ind w:left="720" w:hanging="360"/>
      </w:pPr>
      <w:rPr>
        <w:rFonts w:hint="default" w:ascii="Symbol" w:hAnsi="Symbol"/>
      </w:rPr>
    </w:lvl>
    <w:lvl w:ilvl="1" w:tplc="D1F2E9A6">
      <w:start w:val="1"/>
      <w:numFmt w:val="bullet"/>
      <w:lvlText w:val="o"/>
      <w:lvlJc w:val="left"/>
      <w:pPr>
        <w:ind w:left="1440" w:hanging="360"/>
      </w:pPr>
      <w:rPr>
        <w:rFonts w:hint="default" w:ascii="Courier New" w:hAnsi="Courier New"/>
      </w:rPr>
    </w:lvl>
    <w:lvl w:ilvl="2" w:tplc="41CA4FE2">
      <w:start w:val="1"/>
      <w:numFmt w:val="bullet"/>
      <w:lvlText w:val=""/>
      <w:lvlJc w:val="left"/>
      <w:pPr>
        <w:ind w:left="2160" w:hanging="360"/>
      </w:pPr>
      <w:rPr>
        <w:rFonts w:hint="default" w:ascii="Wingdings" w:hAnsi="Wingdings"/>
      </w:rPr>
    </w:lvl>
    <w:lvl w:ilvl="3" w:tplc="F8D0E9F8">
      <w:start w:val="1"/>
      <w:numFmt w:val="bullet"/>
      <w:lvlText w:val=""/>
      <w:lvlJc w:val="left"/>
      <w:pPr>
        <w:ind w:left="2880" w:hanging="360"/>
      </w:pPr>
      <w:rPr>
        <w:rFonts w:hint="default" w:ascii="Symbol" w:hAnsi="Symbol"/>
      </w:rPr>
    </w:lvl>
    <w:lvl w:ilvl="4" w:tplc="8318CD40">
      <w:start w:val="1"/>
      <w:numFmt w:val="bullet"/>
      <w:lvlText w:val="o"/>
      <w:lvlJc w:val="left"/>
      <w:pPr>
        <w:ind w:left="3600" w:hanging="360"/>
      </w:pPr>
      <w:rPr>
        <w:rFonts w:hint="default" w:ascii="Courier New" w:hAnsi="Courier New"/>
      </w:rPr>
    </w:lvl>
    <w:lvl w:ilvl="5" w:tplc="9C6A0F64">
      <w:start w:val="1"/>
      <w:numFmt w:val="bullet"/>
      <w:lvlText w:val=""/>
      <w:lvlJc w:val="left"/>
      <w:pPr>
        <w:ind w:left="4320" w:hanging="360"/>
      </w:pPr>
      <w:rPr>
        <w:rFonts w:hint="default" w:ascii="Wingdings" w:hAnsi="Wingdings"/>
      </w:rPr>
    </w:lvl>
    <w:lvl w:ilvl="6" w:tplc="DE482184">
      <w:start w:val="1"/>
      <w:numFmt w:val="bullet"/>
      <w:lvlText w:val=""/>
      <w:lvlJc w:val="left"/>
      <w:pPr>
        <w:ind w:left="5040" w:hanging="360"/>
      </w:pPr>
      <w:rPr>
        <w:rFonts w:hint="default" w:ascii="Symbol" w:hAnsi="Symbol"/>
      </w:rPr>
    </w:lvl>
    <w:lvl w:ilvl="7" w:tplc="3FE20D32">
      <w:start w:val="1"/>
      <w:numFmt w:val="bullet"/>
      <w:lvlText w:val="o"/>
      <w:lvlJc w:val="left"/>
      <w:pPr>
        <w:ind w:left="5760" w:hanging="360"/>
      </w:pPr>
      <w:rPr>
        <w:rFonts w:hint="default" w:ascii="Courier New" w:hAnsi="Courier New"/>
      </w:rPr>
    </w:lvl>
    <w:lvl w:ilvl="8" w:tplc="AE6CDC2C">
      <w:start w:val="1"/>
      <w:numFmt w:val="bullet"/>
      <w:lvlText w:val=""/>
      <w:lvlJc w:val="left"/>
      <w:pPr>
        <w:ind w:left="6480" w:hanging="360"/>
      </w:pPr>
      <w:rPr>
        <w:rFonts w:hint="default" w:ascii="Wingdings" w:hAnsi="Wingdings"/>
      </w:rPr>
    </w:lvl>
  </w:abstractNum>
  <w:abstractNum w:abstractNumId="3" w15:restartNumberingAfterBreak="0">
    <w:nsid w:val="6A2AC3AA"/>
    <w:multiLevelType w:val="hybridMultilevel"/>
    <w:tmpl w:val="07383422"/>
    <w:lvl w:ilvl="0" w:tplc="39500F0E">
      <w:start w:val="1"/>
      <w:numFmt w:val="bullet"/>
      <w:lvlText w:val=""/>
      <w:lvlJc w:val="left"/>
      <w:pPr>
        <w:ind w:left="1080" w:hanging="360"/>
      </w:pPr>
      <w:rPr>
        <w:rFonts w:hint="default" w:ascii="Symbol" w:hAnsi="Symbol"/>
      </w:rPr>
    </w:lvl>
    <w:lvl w:ilvl="1" w:tplc="E30865D2">
      <w:start w:val="1"/>
      <w:numFmt w:val="bullet"/>
      <w:lvlText w:val="o"/>
      <w:lvlJc w:val="left"/>
      <w:pPr>
        <w:ind w:left="1800" w:hanging="360"/>
      </w:pPr>
      <w:rPr>
        <w:rFonts w:hint="default" w:ascii="Courier New" w:hAnsi="Courier New"/>
      </w:rPr>
    </w:lvl>
    <w:lvl w:ilvl="2" w:tplc="872665B0">
      <w:start w:val="1"/>
      <w:numFmt w:val="bullet"/>
      <w:lvlText w:val=""/>
      <w:lvlJc w:val="left"/>
      <w:pPr>
        <w:ind w:left="2520" w:hanging="360"/>
      </w:pPr>
      <w:rPr>
        <w:rFonts w:hint="default" w:ascii="Wingdings" w:hAnsi="Wingdings"/>
      </w:rPr>
    </w:lvl>
    <w:lvl w:ilvl="3" w:tplc="8F32E3FA">
      <w:start w:val="1"/>
      <w:numFmt w:val="bullet"/>
      <w:lvlText w:val=""/>
      <w:lvlJc w:val="left"/>
      <w:pPr>
        <w:ind w:left="3240" w:hanging="360"/>
      </w:pPr>
      <w:rPr>
        <w:rFonts w:hint="default" w:ascii="Symbol" w:hAnsi="Symbol"/>
      </w:rPr>
    </w:lvl>
    <w:lvl w:ilvl="4" w:tplc="8050E8D8">
      <w:start w:val="1"/>
      <w:numFmt w:val="bullet"/>
      <w:lvlText w:val="o"/>
      <w:lvlJc w:val="left"/>
      <w:pPr>
        <w:ind w:left="3960" w:hanging="360"/>
      </w:pPr>
      <w:rPr>
        <w:rFonts w:hint="default" w:ascii="Courier New" w:hAnsi="Courier New"/>
      </w:rPr>
    </w:lvl>
    <w:lvl w:ilvl="5" w:tplc="65804CBC">
      <w:start w:val="1"/>
      <w:numFmt w:val="bullet"/>
      <w:lvlText w:val=""/>
      <w:lvlJc w:val="left"/>
      <w:pPr>
        <w:ind w:left="4680" w:hanging="360"/>
      </w:pPr>
      <w:rPr>
        <w:rFonts w:hint="default" w:ascii="Wingdings" w:hAnsi="Wingdings"/>
      </w:rPr>
    </w:lvl>
    <w:lvl w:ilvl="6" w:tplc="4972FCAC">
      <w:start w:val="1"/>
      <w:numFmt w:val="bullet"/>
      <w:lvlText w:val=""/>
      <w:lvlJc w:val="left"/>
      <w:pPr>
        <w:ind w:left="5400" w:hanging="360"/>
      </w:pPr>
      <w:rPr>
        <w:rFonts w:hint="default" w:ascii="Symbol" w:hAnsi="Symbol"/>
      </w:rPr>
    </w:lvl>
    <w:lvl w:ilvl="7" w:tplc="EEE0C2AA">
      <w:start w:val="1"/>
      <w:numFmt w:val="bullet"/>
      <w:lvlText w:val="o"/>
      <w:lvlJc w:val="left"/>
      <w:pPr>
        <w:ind w:left="6120" w:hanging="360"/>
      </w:pPr>
      <w:rPr>
        <w:rFonts w:hint="default" w:ascii="Courier New" w:hAnsi="Courier New"/>
      </w:rPr>
    </w:lvl>
    <w:lvl w:ilvl="8" w:tplc="9F9EDBE2">
      <w:start w:val="1"/>
      <w:numFmt w:val="bullet"/>
      <w:lvlText w:val=""/>
      <w:lvlJc w:val="left"/>
      <w:pPr>
        <w:ind w:left="6840" w:hanging="360"/>
      </w:pPr>
      <w:rPr>
        <w:rFonts w:hint="default" w:ascii="Wingdings" w:hAnsi="Wingdings"/>
      </w:rPr>
    </w:lvl>
  </w:abstractNum>
  <w:num w:numId="1" w16cid:durableId="1601529528">
    <w:abstractNumId w:val="2"/>
  </w:num>
  <w:num w:numId="2" w16cid:durableId="801339503">
    <w:abstractNumId w:val="3"/>
  </w:num>
  <w:num w:numId="3" w16cid:durableId="1713192317">
    <w:abstractNumId w:val="1"/>
  </w:num>
  <w:num w:numId="4" w16cid:durableId="204020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3A8109"/>
    <w:rsid w:val="00002B1B"/>
    <w:rsid w:val="00006D68"/>
    <w:rsid w:val="00063408"/>
    <w:rsid w:val="000A78CA"/>
    <w:rsid w:val="000C2A9E"/>
    <w:rsid w:val="000F710A"/>
    <w:rsid w:val="0011367D"/>
    <w:rsid w:val="00140FCC"/>
    <w:rsid w:val="00182BF3"/>
    <w:rsid w:val="001D09F6"/>
    <w:rsid w:val="001E416A"/>
    <w:rsid w:val="001F32BB"/>
    <w:rsid w:val="001F64E3"/>
    <w:rsid w:val="00256702"/>
    <w:rsid w:val="00256DEB"/>
    <w:rsid w:val="00266174"/>
    <w:rsid w:val="002A18AC"/>
    <w:rsid w:val="002A4614"/>
    <w:rsid w:val="002E47C9"/>
    <w:rsid w:val="00303CE1"/>
    <w:rsid w:val="003342E4"/>
    <w:rsid w:val="0033546B"/>
    <w:rsid w:val="00386354"/>
    <w:rsid w:val="003931E2"/>
    <w:rsid w:val="00401143"/>
    <w:rsid w:val="00401CA5"/>
    <w:rsid w:val="00420B08"/>
    <w:rsid w:val="004A0F6A"/>
    <w:rsid w:val="004A49D9"/>
    <w:rsid w:val="0050013A"/>
    <w:rsid w:val="00505C58"/>
    <w:rsid w:val="005641DE"/>
    <w:rsid w:val="005C3587"/>
    <w:rsid w:val="005C61FE"/>
    <w:rsid w:val="005E0208"/>
    <w:rsid w:val="005E2A16"/>
    <w:rsid w:val="006C3A75"/>
    <w:rsid w:val="006C6711"/>
    <w:rsid w:val="00721AD0"/>
    <w:rsid w:val="00721E60"/>
    <w:rsid w:val="007A5A9B"/>
    <w:rsid w:val="007A5EDE"/>
    <w:rsid w:val="007F715F"/>
    <w:rsid w:val="00800D94"/>
    <w:rsid w:val="00845F1B"/>
    <w:rsid w:val="00853CAC"/>
    <w:rsid w:val="00872B1F"/>
    <w:rsid w:val="00893E88"/>
    <w:rsid w:val="008A60A0"/>
    <w:rsid w:val="008E63AE"/>
    <w:rsid w:val="008F78C5"/>
    <w:rsid w:val="0094411F"/>
    <w:rsid w:val="009560E4"/>
    <w:rsid w:val="00966401"/>
    <w:rsid w:val="00985D45"/>
    <w:rsid w:val="00A02316"/>
    <w:rsid w:val="00A938AE"/>
    <w:rsid w:val="00AA7D33"/>
    <w:rsid w:val="00AB2AC8"/>
    <w:rsid w:val="00B22E09"/>
    <w:rsid w:val="00B40F7C"/>
    <w:rsid w:val="00B46400"/>
    <w:rsid w:val="00B70AEC"/>
    <w:rsid w:val="00B951D4"/>
    <w:rsid w:val="00BD1C37"/>
    <w:rsid w:val="00BF4BF3"/>
    <w:rsid w:val="00C02AE5"/>
    <w:rsid w:val="00C077F1"/>
    <w:rsid w:val="00C23788"/>
    <w:rsid w:val="00C67F8A"/>
    <w:rsid w:val="00C82CD0"/>
    <w:rsid w:val="00C91F2B"/>
    <w:rsid w:val="00CA051E"/>
    <w:rsid w:val="00CB2A87"/>
    <w:rsid w:val="00CB6062"/>
    <w:rsid w:val="00CC674E"/>
    <w:rsid w:val="00CD50FE"/>
    <w:rsid w:val="00D41815"/>
    <w:rsid w:val="00D97C88"/>
    <w:rsid w:val="00DB2644"/>
    <w:rsid w:val="00E17153"/>
    <w:rsid w:val="00E56379"/>
    <w:rsid w:val="00EA62EB"/>
    <w:rsid w:val="00EE2ACF"/>
    <w:rsid w:val="00F313CA"/>
    <w:rsid w:val="00F40052"/>
    <w:rsid w:val="00F44981"/>
    <w:rsid w:val="00F45707"/>
    <w:rsid w:val="00F54B78"/>
    <w:rsid w:val="00F753AA"/>
    <w:rsid w:val="00FA2800"/>
    <w:rsid w:val="0199F40D"/>
    <w:rsid w:val="04C46657"/>
    <w:rsid w:val="0661A5C7"/>
    <w:rsid w:val="06CE31D7"/>
    <w:rsid w:val="07D0D165"/>
    <w:rsid w:val="07F805AE"/>
    <w:rsid w:val="0968E9E5"/>
    <w:rsid w:val="0969A20A"/>
    <w:rsid w:val="09823F9A"/>
    <w:rsid w:val="09C7F487"/>
    <w:rsid w:val="0A037BCD"/>
    <w:rsid w:val="0BF02049"/>
    <w:rsid w:val="0C1DB0B1"/>
    <w:rsid w:val="0C27FA8B"/>
    <w:rsid w:val="0DDB5C9C"/>
    <w:rsid w:val="0E0FB023"/>
    <w:rsid w:val="10BA321E"/>
    <w:rsid w:val="11E69771"/>
    <w:rsid w:val="122712B7"/>
    <w:rsid w:val="122BFC12"/>
    <w:rsid w:val="1551B16D"/>
    <w:rsid w:val="16A15D94"/>
    <w:rsid w:val="17084AEB"/>
    <w:rsid w:val="1CF672C3"/>
    <w:rsid w:val="1FDD02CF"/>
    <w:rsid w:val="20C787B4"/>
    <w:rsid w:val="2212B743"/>
    <w:rsid w:val="25B19C47"/>
    <w:rsid w:val="2603F43C"/>
    <w:rsid w:val="270E913A"/>
    <w:rsid w:val="2848395F"/>
    <w:rsid w:val="28C88B1C"/>
    <w:rsid w:val="293E0AFB"/>
    <w:rsid w:val="293FF732"/>
    <w:rsid w:val="296E67E4"/>
    <w:rsid w:val="29F95A9B"/>
    <w:rsid w:val="2B2EB58D"/>
    <w:rsid w:val="2E64DF02"/>
    <w:rsid w:val="30C66DE4"/>
    <w:rsid w:val="30E46813"/>
    <w:rsid w:val="317494C1"/>
    <w:rsid w:val="31CB100A"/>
    <w:rsid w:val="322073C1"/>
    <w:rsid w:val="32671583"/>
    <w:rsid w:val="3268D762"/>
    <w:rsid w:val="3352DA3A"/>
    <w:rsid w:val="3412CFDD"/>
    <w:rsid w:val="35EEB1CB"/>
    <w:rsid w:val="36B01A21"/>
    <w:rsid w:val="37B27833"/>
    <w:rsid w:val="37BB8B83"/>
    <w:rsid w:val="38146D25"/>
    <w:rsid w:val="384498D9"/>
    <w:rsid w:val="38F46558"/>
    <w:rsid w:val="3BC834FB"/>
    <w:rsid w:val="3C2EEABD"/>
    <w:rsid w:val="3D3DC617"/>
    <w:rsid w:val="3D6C2DB4"/>
    <w:rsid w:val="3D9567A6"/>
    <w:rsid w:val="3DCBC222"/>
    <w:rsid w:val="3FF77E89"/>
    <w:rsid w:val="400B4714"/>
    <w:rsid w:val="40DCF5F8"/>
    <w:rsid w:val="41DBCE9F"/>
    <w:rsid w:val="42191E7B"/>
    <w:rsid w:val="424BE140"/>
    <w:rsid w:val="4291EFEB"/>
    <w:rsid w:val="42FEF5C8"/>
    <w:rsid w:val="49BEDC9E"/>
    <w:rsid w:val="49FDCAC5"/>
    <w:rsid w:val="4B614ACE"/>
    <w:rsid w:val="4E22FB92"/>
    <w:rsid w:val="4E4B4C2E"/>
    <w:rsid w:val="4E8EE4F8"/>
    <w:rsid w:val="4F49F712"/>
    <w:rsid w:val="4FA41131"/>
    <w:rsid w:val="513FD6C5"/>
    <w:rsid w:val="517052B0"/>
    <w:rsid w:val="52BD46BB"/>
    <w:rsid w:val="5336256C"/>
    <w:rsid w:val="54646C46"/>
    <w:rsid w:val="547985A4"/>
    <w:rsid w:val="567D11C1"/>
    <w:rsid w:val="570371F4"/>
    <w:rsid w:val="5A6FCEB7"/>
    <w:rsid w:val="5A794959"/>
    <w:rsid w:val="5A9BE010"/>
    <w:rsid w:val="5B0A401D"/>
    <w:rsid w:val="5B64F86D"/>
    <w:rsid w:val="5BD7CC05"/>
    <w:rsid w:val="5DBD5D61"/>
    <w:rsid w:val="5F9779B8"/>
    <w:rsid w:val="6313488E"/>
    <w:rsid w:val="643B51EE"/>
    <w:rsid w:val="673C340B"/>
    <w:rsid w:val="679508E5"/>
    <w:rsid w:val="67AE7C87"/>
    <w:rsid w:val="69352F5D"/>
    <w:rsid w:val="6CA0351B"/>
    <w:rsid w:val="6F36B2D1"/>
    <w:rsid w:val="6F417ACE"/>
    <w:rsid w:val="72D1080E"/>
    <w:rsid w:val="74F7DA65"/>
    <w:rsid w:val="75FEA0D1"/>
    <w:rsid w:val="76230EB4"/>
    <w:rsid w:val="764581C7"/>
    <w:rsid w:val="76F33D7C"/>
    <w:rsid w:val="77732DD1"/>
    <w:rsid w:val="7804C104"/>
    <w:rsid w:val="78D4FC0A"/>
    <w:rsid w:val="7A95DF94"/>
    <w:rsid w:val="7C0526DC"/>
    <w:rsid w:val="7C9C642F"/>
    <w:rsid w:val="7CAB6D01"/>
    <w:rsid w:val="7DB93071"/>
    <w:rsid w:val="7DC9A819"/>
    <w:rsid w:val="7E3A8109"/>
    <w:rsid w:val="7FEAF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109"/>
  <w15:chartTrackingRefBased/>
  <w15:docId w15:val="{D34851E3-1CA9-4C30-B786-09EC138B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ListParagraph"/>
    <w:next w:val="Normal"/>
    <w:link w:val="Heading2Char"/>
    <w:uiPriority w:val="9"/>
    <w:unhideWhenUsed/>
    <w:qFormat/>
    <w:rsid w:val="00CB2A87"/>
    <w:pPr>
      <w:numPr>
        <w:numId w:val="4"/>
      </w:numPr>
      <w:ind w:left="426" w:hanging="426"/>
      <w:outlineLvl w:val="1"/>
    </w:pPr>
    <w:rPr>
      <w:rFonts w:ascii="Arial" w:hAnsi="Arial" w:cs="Arial"/>
      <w:b/>
      <w:bCs/>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B2A87"/>
    <w:rPr>
      <w:rFonts w:ascii="Arial" w:hAnsi="Arial" w:cs="Arial"/>
      <w:b/>
      <w:bCs/>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A938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0013A"/>
    <w:pPr>
      <w:ind w:left="720"/>
      <w:contextualSpacing/>
    </w:pPr>
  </w:style>
  <w:style w:type="paragraph" w:styleId="Header">
    <w:name w:val="header"/>
    <w:basedOn w:val="Normal"/>
    <w:link w:val="HeaderChar"/>
    <w:uiPriority w:val="99"/>
    <w:unhideWhenUsed/>
    <w:rsid w:val="001D09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D09F6"/>
  </w:style>
  <w:style w:type="paragraph" w:styleId="Footer">
    <w:name w:val="footer"/>
    <w:basedOn w:val="Normal"/>
    <w:link w:val="FooterChar"/>
    <w:uiPriority w:val="99"/>
    <w:unhideWhenUsed/>
    <w:rsid w:val="001D09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1D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079">
      <w:bodyDiv w:val="1"/>
      <w:marLeft w:val="0"/>
      <w:marRight w:val="0"/>
      <w:marTop w:val="0"/>
      <w:marBottom w:val="0"/>
      <w:divBdr>
        <w:top w:val="none" w:sz="0" w:space="0" w:color="auto"/>
        <w:left w:val="none" w:sz="0" w:space="0" w:color="auto"/>
        <w:bottom w:val="none" w:sz="0" w:space="0" w:color="auto"/>
        <w:right w:val="none" w:sz="0" w:space="0" w:color="auto"/>
      </w:divBdr>
    </w:div>
    <w:div w:id="178665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 xmlns="f1f31a07-4506-4e47-8486-d919bf048ea5" xsi:nil="true"/>
    <Statutoryornon_x002d_statutory xmlns="f1f31a07-4506-4e47-8486-d919bf048ea5" xsi:nil="true"/>
    <Notes xmlns="f1f31a07-4506-4e47-8486-d919bf048ea5" xsi:nil="true"/>
    <Reviewcycledateofnextreview xmlns="f1f31a07-4506-4e47-8486-d919bf048ea5" xsi:nil="true"/>
    <TaxCatchAll xmlns="64bbe452-5c38-40b2-bfe9-322466fceaa4" xsi:nil="true"/>
    <lcf76f155ced4ddcb4097134ff3c332f xmlns="f1f31a07-4506-4e47-8486-d919bf048ea5">
      <Terms xmlns="http://schemas.microsoft.com/office/infopath/2007/PartnerControls"/>
    </lcf76f155ced4ddcb4097134ff3c332f>
    <Status xmlns="f1f31a07-4506-4e47-8486-d919bf048e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A3E1366257D468217A171B72CBF61" ma:contentTypeVersion="21" ma:contentTypeDescription="Create a new document." ma:contentTypeScope="" ma:versionID="0d32cff3e7c069db203c18b834eec72e">
  <xsd:schema xmlns:xsd="http://www.w3.org/2001/XMLSchema" xmlns:xs="http://www.w3.org/2001/XMLSchema" xmlns:p="http://schemas.microsoft.com/office/2006/metadata/properties" xmlns:ns2="f1f31a07-4506-4e47-8486-d919bf048ea5" xmlns:ns3="64bbe452-5c38-40b2-bfe9-322466fceaa4" targetNamespace="http://schemas.microsoft.com/office/2006/metadata/properties" ma:root="true" ma:fieldsID="a495b84d41096f30796f6df060596329" ns2:_="" ns3:_="">
    <xsd:import namespace="f1f31a07-4506-4e47-8486-d919bf048ea5"/>
    <xsd:import namespace="64bbe452-5c38-40b2-bfe9-322466fce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element ref="ns2:MediaServiceDateTaken" minOccurs="0"/>
                <xsd:element ref="ns2:Notes" minOccurs="0"/>
                <xsd:element ref="ns2:MediaLengthInSeconds" minOccurs="0"/>
                <xsd:element ref="ns2:Reviewcycledateofnextreview" minOccurs="0"/>
                <xsd:element ref="ns2:Approval" minOccurs="0"/>
                <xsd:element ref="ns2:Statutoryornon_x002d_statuto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31a07-4506-4e47-8486-d919bf048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 ma:format="Dropdown" ma:internalName="Status">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Reviewcycledateofnextreview" ma:index="25" nillable="true" ma:displayName="Review cycle &amp; date of next review" ma:format="Dropdown" ma:internalName="Reviewcycledateofnextreview">
      <xsd:simpleType>
        <xsd:restriction base="dms:Note">
          <xsd:maxLength value="255"/>
        </xsd:restriction>
      </xsd:simpleType>
    </xsd:element>
    <xsd:element name="Approval" ma:index="26" nillable="true" ma:displayName="Approval " ma:description="Who needs to approve the policy" ma:format="Dropdown" ma:internalName="Approval">
      <xsd:simpleType>
        <xsd:restriction base="dms:Note">
          <xsd:maxLength value="255"/>
        </xsd:restriction>
      </xsd:simpleType>
    </xsd:element>
    <xsd:element name="Statutoryornon_x002d_statutory" ma:index="27" nillable="true" ma:displayName="Statutory or non-statutory" ma:format="Dropdown" ma:internalName="Statutoryornon_x002d_statutory">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be452-5c38-40b2-bfe9-322466fce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52d4eec-49e6-4460-af03-4cbfb44e2970}" ma:internalName="TaxCatchAll" ma:showField="CatchAllData" ma:web="64bbe452-5c38-40b2-bfe9-322466fcea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E72D7-08A0-4BF3-AE6E-1ABBC1BA4BE1}">
  <ds:schemaRefs>
    <ds:schemaRef ds:uri="http://schemas.microsoft.com/office/2006/metadata/properties"/>
    <ds:schemaRef ds:uri="http://schemas.microsoft.com/office/infopath/2007/PartnerControls"/>
    <ds:schemaRef ds:uri="f1f31a07-4506-4e47-8486-d919bf048ea5"/>
    <ds:schemaRef ds:uri="64bbe452-5c38-40b2-bfe9-322466fceaa4"/>
  </ds:schemaRefs>
</ds:datastoreItem>
</file>

<file path=customXml/itemProps2.xml><?xml version="1.0" encoding="utf-8"?>
<ds:datastoreItem xmlns:ds="http://schemas.openxmlformats.org/officeDocument/2006/customXml" ds:itemID="{A40A5198-62E6-418E-8BDC-2DA85A87CB43}">
  <ds:schemaRefs>
    <ds:schemaRef ds:uri="http://schemas.microsoft.com/sharepoint/v3/contenttype/forms"/>
  </ds:schemaRefs>
</ds:datastoreItem>
</file>

<file path=customXml/itemProps3.xml><?xml version="1.0" encoding="utf-8"?>
<ds:datastoreItem xmlns:ds="http://schemas.openxmlformats.org/officeDocument/2006/customXml" ds:itemID="{7FFA90E3-7D61-486A-929E-2C4BB7744D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Graham Boyd</dc:creator>
  <keywords/>
  <dc:description/>
  <lastModifiedBy>Jo Clifton</lastModifiedBy>
  <revision>3</revision>
  <dcterms:created xsi:type="dcterms:W3CDTF">2026-01-15T13:39:00.0000000Z</dcterms:created>
  <dcterms:modified xsi:type="dcterms:W3CDTF">2026-01-21T14:09:32.2403899Z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0x01010041AA3E1366257D468217A171B72CBF61</vt:lpwstr>
  </property>
  <property fmtid="{D5CDD505-2E9C-101B-9397-08002B2CF9AE}" pid="3" name="MediaServiceImageTags">
    <vt:lpwstr/>
  </property>
</Properties>
</file>